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E3B" w:rsidRDefault="00591782" w:rsidP="00037B40">
      <w:pPr>
        <w:jc w:val="center"/>
        <w:rPr>
          <w:rFonts w:cs="Arial"/>
          <w:b/>
          <w:sz w:val="28"/>
          <w:szCs w:val="28"/>
          <w:u w:val="single"/>
        </w:rPr>
      </w:pPr>
      <w:r>
        <w:rPr>
          <w:rFonts w:cs="Arial"/>
          <w:b/>
          <w:sz w:val="28"/>
          <w:szCs w:val="28"/>
          <w:u w:val="single"/>
        </w:rPr>
        <w:t xml:space="preserve">East and North Herts </w:t>
      </w:r>
      <w:r w:rsidR="00E10E3B">
        <w:rPr>
          <w:rFonts w:cs="Arial"/>
          <w:b/>
          <w:sz w:val="28"/>
          <w:szCs w:val="28"/>
          <w:u w:val="single"/>
        </w:rPr>
        <w:t xml:space="preserve">CCG </w:t>
      </w:r>
      <w:r w:rsidR="00DF095F" w:rsidRPr="00037B40">
        <w:rPr>
          <w:rFonts w:cs="Arial"/>
          <w:b/>
          <w:sz w:val="28"/>
          <w:szCs w:val="28"/>
          <w:u w:val="single"/>
        </w:rPr>
        <w:t xml:space="preserve">Good Practice Guidance: </w:t>
      </w:r>
    </w:p>
    <w:p w:rsidR="00DF095F" w:rsidRPr="00037B40" w:rsidRDefault="008D3889" w:rsidP="00037B40">
      <w:pPr>
        <w:jc w:val="center"/>
        <w:rPr>
          <w:rFonts w:cs="Arial"/>
          <w:b/>
          <w:sz w:val="28"/>
          <w:szCs w:val="28"/>
          <w:u w:val="single"/>
        </w:rPr>
      </w:pPr>
      <w:r w:rsidRPr="00037B40">
        <w:rPr>
          <w:rFonts w:cs="Arial"/>
          <w:b/>
          <w:sz w:val="28"/>
          <w:szCs w:val="28"/>
          <w:u w:val="single"/>
        </w:rPr>
        <w:t xml:space="preserve">Prescribing </w:t>
      </w:r>
      <w:r w:rsidR="00DF095F" w:rsidRPr="00037B40">
        <w:rPr>
          <w:rFonts w:cs="Arial"/>
          <w:b/>
          <w:sz w:val="28"/>
          <w:szCs w:val="28"/>
          <w:u w:val="single"/>
        </w:rPr>
        <w:t>Over-The-Counter</w:t>
      </w:r>
      <w:r w:rsidR="00037B40" w:rsidRPr="00037B40">
        <w:rPr>
          <w:rFonts w:cs="Arial"/>
          <w:b/>
          <w:sz w:val="28"/>
          <w:szCs w:val="28"/>
          <w:u w:val="single"/>
        </w:rPr>
        <w:t xml:space="preserve"> Medication</w:t>
      </w:r>
      <w:r w:rsidR="00DF095F" w:rsidRPr="00037B40">
        <w:rPr>
          <w:rFonts w:cs="Arial"/>
          <w:b/>
          <w:sz w:val="28"/>
          <w:szCs w:val="28"/>
          <w:u w:val="single"/>
        </w:rPr>
        <w:t xml:space="preserve"> in Social Care Settings</w:t>
      </w:r>
    </w:p>
    <w:p w:rsidR="005233FC" w:rsidRPr="0077283B" w:rsidRDefault="005233FC" w:rsidP="003D2666">
      <w:pPr>
        <w:jc w:val="both"/>
        <w:rPr>
          <w:rFonts w:cs="Arial"/>
          <w:b/>
        </w:rPr>
      </w:pPr>
    </w:p>
    <w:p w:rsidR="009C7F9F" w:rsidRPr="005E7342" w:rsidRDefault="00D947B9" w:rsidP="003D2666">
      <w:pPr>
        <w:jc w:val="both"/>
        <w:rPr>
          <w:rFonts w:cs="Arial"/>
          <w:b/>
          <w:sz w:val="24"/>
          <w:szCs w:val="24"/>
          <w:u w:val="single"/>
        </w:rPr>
      </w:pPr>
      <w:r w:rsidRPr="005E7342">
        <w:rPr>
          <w:rFonts w:cs="Arial"/>
          <w:b/>
          <w:sz w:val="24"/>
          <w:szCs w:val="24"/>
          <w:u w:val="single"/>
        </w:rPr>
        <w:t>Introduction</w:t>
      </w:r>
      <w:bookmarkStart w:id="0" w:name="_GoBack"/>
      <w:bookmarkEnd w:id="0"/>
    </w:p>
    <w:p w:rsidR="00D947B9" w:rsidRPr="0077283B" w:rsidRDefault="00D947B9" w:rsidP="00FE2489">
      <w:pPr>
        <w:jc w:val="both"/>
        <w:rPr>
          <w:rFonts w:cs="Arial"/>
        </w:rPr>
      </w:pPr>
      <w:r w:rsidRPr="0077283B">
        <w:rPr>
          <w:rFonts w:cs="Arial"/>
        </w:rPr>
        <w:t xml:space="preserve">This </w:t>
      </w:r>
      <w:r w:rsidR="00045389">
        <w:rPr>
          <w:rFonts w:cs="Arial"/>
        </w:rPr>
        <w:t>guidance</w:t>
      </w:r>
      <w:r w:rsidRPr="0077283B">
        <w:rPr>
          <w:rFonts w:cs="Arial"/>
        </w:rPr>
        <w:t xml:space="preserve"> sets out the </w:t>
      </w:r>
      <w:r w:rsidR="0013549B">
        <w:rPr>
          <w:rFonts w:cs="Arial"/>
        </w:rPr>
        <w:t xml:space="preserve">approach of </w:t>
      </w:r>
      <w:r w:rsidR="00951B16">
        <w:rPr>
          <w:rFonts w:cs="Arial"/>
        </w:rPr>
        <w:t xml:space="preserve">East and North Hertfordshire </w:t>
      </w:r>
      <w:r w:rsidRPr="0077283B">
        <w:rPr>
          <w:rFonts w:cs="Arial"/>
        </w:rPr>
        <w:t>Cli</w:t>
      </w:r>
      <w:r w:rsidR="0013549B">
        <w:rPr>
          <w:rFonts w:cs="Arial"/>
        </w:rPr>
        <w:t>nical Commissioning Group (CCG)</w:t>
      </w:r>
      <w:r w:rsidRPr="0077283B">
        <w:rPr>
          <w:rFonts w:cs="Arial"/>
        </w:rPr>
        <w:t xml:space="preserve"> to the prescri</w:t>
      </w:r>
      <w:r w:rsidR="009A004F">
        <w:rPr>
          <w:rFonts w:cs="Arial"/>
        </w:rPr>
        <w:t>bing of over-the-counter (OTC) m</w:t>
      </w:r>
      <w:r w:rsidRPr="0077283B">
        <w:rPr>
          <w:rFonts w:cs="Arial"/>
        </w:rPr>
        <w:t>edicines for patients</w:t>
      </w:r>
      <w:r w:rsidR="008D3889">
        <w:rPr>
          <w:rFonts w:cs="Arial"/>
        </w:rPr>
        <w:t xml:space="preserve"> l</w:t>
      </w:r>
      <w:r w:rsidR="0013549B">
        <w:rPr>
          <w:rFonts w:cs="Arial"/>
        </w:rPr>
        <w:t>iving in social care settings (care home and h</w:t>
      </w:r>
      <w:r w:rsidR="008D3889">
        <w:rPr>
          <w:rFonts w:cs="Arial"/>
        </w:rPr>
        <w:t>ome care patients)</w:t>
      </w:r>
      <w:r w:rsidRPr="0077283B">
        <w:rPr>
          <w:rFonts w:cs="Arial"/>
        </w:rPr>
        <w:t xml:space="preserve"> with self-limiting conditions and to promote self-care where possible. Individuals will now be expected to purchase OTC medicines for conditions that can be managed through self-care and this includes groups that currently receive free prescriptions (such as children, elderly and those on low incomes). This policy does not cover long-term conditions. </w:t>
      </w:r>
    </w:p>
    <w:p w:rsidR="00D947B9" w:rsidRPr="0077283B" w:rsidRDefault="00D947B9" w:rsidP="00FE2489">
      <w:pPr>
        <w:jc w:val="both"/>
        <w:rPr>
          <w:rFonts w:cs="Arial"/>
          <w:b/>
        </w:rPr>
      </w:pPr>
      <w:r w:rsidRPr="0077283B">
        <w:rPr>
          <w:rFonts w:cs="Arial"/>
        </w:rPr>
        <w:t>For further details, please see</w:t>
      </w:r>
      <w:r w:rsidR="00415819">
        <w:rPr>
          <w:rFonts w:cs="Arial"/>
        </w:rPr>
        <w:t xml:space="preserve"> </w:t>
      </w:r>
      <w:r w:rsidR="006F6059">
        <w:rPr>
          <w:rFonts w:cs="Arial"/>
        </w:rPr>
        <w:t xml:space="preserve">the East and North Herts CCG </w:t>
      </w:r>
      <w:hyperlink r:id="rId8" w:history="1">
        <w:r w:rsidR="00415819" w:rsidRPr="00481354">
          <w:rPr>
            <w:rStyle w:val="Hyperlink"/>
            <w:rFonts w:cs="Arial"/>
          </w:rPr>
          <w:t>OTC Polic</w:t>
        </w:r>
        <w:r w:rsidR="00481354" w:rsidRPr="00481354">
          <w:rPr>
            <w:rStyle w:val="Hyperlink"/>
            <w:rFonts w:cs="Arial"/>
          </w:rPr>
          <w:t>y</w:t>
        </w:r>
      </w:hyperlink>
      <w:r w:rsidR="00416E88" w:rsidRPr="0077283B">
        <w:rPr>
          <w:rFonts w:cs="Arial"/>
        </w:rPr>
        <w:t>.</w:t>
      </w:r>
    </w:p>
    <w:p w:rsidR="005233FC" w:rsidRPr="0077283B" w:rsidRDefault="005233FC" w:rsidP="003D2666">
      <w:pPr>
        <w:jc w:val="both"/>
        <w:rPr>
          <w:rFonts w:cs="Arial"/>
          <w:b/>
        </w:rPr>
      </w:pPr>
    </w:p>
    <w:p w:rsidR="00D947B9" w:rsidRPr="005E7342" w:rsidRDefault="009C7F9F" w:rsidP="003D2666">
      <w:pPr>
        <w:jc w:val="both"/>
        <w:rPr>
          <w:rFonts w:cs="Arial"/>
          <w:b/>
          <w:sz w:val="24"/>
          <w:szCs w:val="24"/>
          <w:u w:val="single"/>
        </w:rPr>
      </w:pPr>
      <w:r>
        <w:rPr>
          <w:rFonts w:cs="Arial"/>
          <w:b/>
          <w:sz w:val="24"/>
          <w:szCs w:val="24"/>
          <w:u w:val="single"/>
        </w:rPr>
        <w:t>Exceptions to the</w:t>
      </w:r>
      <w:r w:rsidR="008844F1" w:rsidRPr="005E7342">
        <w:rPr>
          <w:rFonts w:cs="Arial"/>
          <w:b/>
          <w:sz w:val="24"/>
          <w:szCs w:val="24"/>
          <w:u w:val="single"/>
        </w:rPr>
        <w:t xml:space="preserve"> OTC policy </w:t>
      </w:r>
    </w:p>
    <w:p w:rsidR="00217A72" w:rsidRPr="00217A72" w:rsidRDefault="00217A72" w:rsidP="003D2666">
      <w:pPr>
        <w:jc w:val="both"/>
        <w:rPr>
          <w:rFonts w:cs="Arial"/>
        </w:rPr>
      </w:pPr>
      <w:r w:rsidRPr="0077283B">
        <w:rPr>
          <w:rFonts w:cs="Arial"/>
        </w:rPr>
        <w:t xml:space="preserve">Some medicines for </w:t>
      </w:r>
      <w:r w:rsidRPr="0077283B">
        <w:rPr>
          <w:rFonts w:cs="Arial"/>
          <w:b/>
          <w:u w:val="single"/>
        </w:rPr>
        <w:t>self-limiting conditions</w:t>
      </w:r>
      <w:r w:rsidRPr="0077283B">
        <w:rPr>
          <w:rFonts w:cs="Arial"/>
        </w:rPr>
        <w:t xml:space="preserve"> (which do not require m</w:t>
      </w:r>
      <w:r w:rsidR="00A64236">
        <w:rPr>
          <w:rFonts w:cs="Arial"/>
        </w:rPr>
        <w:t>edical advice or treatment as they</w:t>
      </w:r>
      <w:r w:rsidRPr="0077283B">
        <w:rPr>
          <w:rFonts w:cs="Arial"/>
        </w:rPr>
        <w:t xml:space="preserve"> will clear up on </w:t>
      </w:r>
      <w:r w:rsidR="00A64236">
        <w:rPr>
          <w:rFonts w:cs="Arial"/>
        </w:rPr>
        <w:t>their</w:t>
      </w:r>
      <w:r w:rsidRPr="0077283B">
        <w:rPr>
          <w:rFonts w:cs="Arial"/>
        </w:rPr>
        <w:t xml:space="preserve"> own) will no longer be routinely prescribed unless there are ‘red flag’ symptoms.  </w:t>
      </w:r>
      <w:proofErr w:type="gramStart"/>
      <w:r w:rsidRPr="0077283B">
        <w:rPr>
          <w:rFonts w:cs="Arial"/>
        </w:rPr>
        <w:t>However</w:t>
      </w:r>
      <w:proofErr w:type="gramEnd"/>
      <w:r w:rsidRPr="0077283B">
        <w:rPr>
          <w:rFonts w:cs="Arial"/>
        </w:rPr>
        <w:t xml:space="preserve"> some patients may wish to purchase OTC medicines for symptomatic relief</w:t>
      </w:r>
      <w:r>
        <w:rPr>
          <w:rFonts w:cs="Arial"/>
        </w:rPr>
        <w:t xml:space="preserve">, e.g. </w:t>
      </w:r>
      <w:r w:rsidRPr="0077283B">
        <w:rPr>
          <w:rFonts w:cs="Arial"/>
        </w:rPr>
        <w:t>acute sore th</w:t>
      </w:r>
      <w:r w:rsidR="0013549B">
        <w:rPr>
          <w:rFonts w:cs="Arial"/>
        </w:rPr>
        <w:t>roat, infrequent cold sores of the lip</w:t>
      </w:r>
      <w:r w:rsidRPr="0077283B">
        <w:rPr>
          <w:rFonts w:cs="Arial"/>
        </w:rPr>
        <w:t xml:space="preserve">. </w:t>
      </w:r>
    </w:p>
    <w:p w:rsidR="00D947B9" w:rsidRPr="0077283B" w:rsidRDefault="003D2666" w:rsidP="003D2666">
      <w:pPr>
        <w:jc w:val="both"/>
        <w:rPr>
          <w:rFonts w:cs="Arial"/>
          <w:color w:val="000000" w:themeColor="text1"/>
        </w:rPr>
      </w:pPr>
      <w:r w:rsidRPr="0077283B">
        <w:rPr>
          <w:rFonts w:cs="Arial"/>
          <w:color w:val="000000" w:themeColor="text1"/>
        </w:rPr>
        <w:t>Patients li</w:t>
      </w:r>
      <w:r w:rsidR="009C7F9F">
        <w:rPr>
          <w:rFonts w:cs="Arial"/>
          <w:color w:val="000000" w:themeColor="text1"/>
        </w:rPr>
        <w:t>ving in a social care setting</w:t>
      </w:r>
      <w:r w:rsidR="008844F1">
        <w:rPr>
          <w:rFonts w:cs="Arial"/>
          <w:color w:val="000000" w:themeColor="text1"/>
        </w:rPr>
        <w:t xml:space="preserve"> </w:t>
      </w:r>
      <w:r w:rsidRPr="0077283B">
        <w:rPr>
          <w:rFonts w:cs="Arial"/>
          <w:color w:val="000000" w:themeColor="text1"/>
        </w:rPr>
        <w:t>may</w:t>
      </w:r>
      <w:r w:rsidR="0077283B">
        <w:rPr>
          <w:rFonts w:cs="Arial"/>
          <w:color w:val="000000" w:themeColor="text1"/>
        </w:rPr>
        <w:t xml:space="preserve"> </w:t>
      </w:r>
      <w:r w:rsidRPr="0077283B">
        <w:rPr>
          <w:rFonts w:cs="Arial"/>
          <w:color w:val="000000" w:themeColor="text1"/>
        </w:rPr>
        <w:t xml:space="preserve">still receive OTC medicines on prescription for a </w:t>
      </w:r>
      <w:r w:rsidRPr="0077283B">
        <w:rPr>
          <w:rFonts w:cs="Arial"/>
          <w:b/>
          <w:color w:val="000000" w:themeColor="text1"/>
          <w:u w:val="single"/>
        </w:rPr>
        <w:t>self-care condition</w:t>
      </w:r>
      <w:r w:rsidRPr="0077283B">
        <w:rPr>
          <w:rFonts w:cs="Arial"/>
          <w:color w:val="000000" w:themeColor="text1"/>
        </w:rPr>
        <w:t>, where clinically appropriate</w:t>
      </w:r>
      <w:r w:rsidR="00136E83" w:rsidRPr="0077283B">
        <w:rPr>
          <w:rFonts w:cs="Arial"/>
          <w:color w:val="000000" w:themeColor="text1"/>
        </w:rPr>
        <w:t>, if</w:t>
      </w:r>
      <w:r w:rsidRPr="0077283B">
        <w:rPr>
          <w:rFonts w:cs="Arial"/>
          <w:color w:val="000000" w:themeColor="text1"/>
        </w:rPr>
        <w:t xml:space="preserve"> they meet one or more of the exceptions defined by NHS England:</w:t>
      </w:r>
      <w:r w:rsidR="00D947B9" w:rsidRPr="0077283B">
        <w:rPr>
          <w:rFonts w:cs="Arial"/>
          <w:color w:val="000000" w:themeColor="text1"/>
        </w:rPr>
        <w:t xml:space="preserve"> </w:t>
      </w:r>
    </w:p>
    <w:p w:rsidR="00D947B9" w:rsidRPr="0077283B" w:rsidRDefault="00D947B9" w:rsidP="003D2666">
      <w:pPr>
        <w:pStyle w:val="ListParagraph"/>
        <w:numPr>
          <w:ilvl w:val="0"/>
          <w:numId w:val="1"/>
        </w:numPr>
        <w:jc w:val="both"/>
        <w:rPr>
          <w:rFonts w:cs="Arial"/>
        </w:rPr>
      </w:pPr>
      <w:r w:rsidRPr="0077283B">
        <w:rPr>
          <w:rFonts w:cs="Arial"/>
        </w:rPr>
        <w:t xml:space="preserve">Patients prescribed an over-the-counter treatment for a </w:t>
      </w:r>
      <w:proofErr w:type="gramStart"/>
      <w:r w:rsidRPr="0077283B">
        <w:rPr>
          <w:rFonts w:cs="Arial"/>
          <w:b/>
          <w:i/>
        </w:rPr>
        <w:t>long term</w:t>
      </w:r>
      <w:proofErr w:type="gramEnd"/>
      <w:r w:rsidRPr="0077283B">
        <w:rPr>
          <w:rFonts w:cs="Arial"/>
          <w:b/>
          <w:i/>
        </w:rPr>
        <w:t xml:space="preserve"> condition</w:t>
      </w:r>
      <w:r w:rsidRPr="0077283B">
        <w:rPr>
          <w:rFonts w:cs="Arial"/>
        </w:rPr>
        <w:t xml:space="preserve"> (e.g. regular pain relief for chronic arthritis or treatments for inflammatory bowel disease).</w:t>
      </w:r>
    </w:p>
    <w:p w:rsidR="00D947B9" w:rsidRPr="0077283B" w:rsidRDefault="00D947B9" w:rsidP="003D2666">
      <w:pPr>
        <w:numPr>
          <w:ilvl w:val="0"/>
          <w:numId w:val="1"/>
        </w:numPr>
        <w:jc w:val="both"/>
        <w:rPr>
          <w:rFonts w:cs="Arial"/>
        </w:rPr>
      </w:pPr>
      <w:r w:rsidRPr="0077283B">
        <w:rPr>
          <w:rFonts w:cs="Arial"/>
        </w:rPr>
        <w:t xml:space="preserve">For the treatment of </w:t>
      </w:r>
      <w:r w:rsidRPr="0077283B">
        <w:rPr>
          <w:rFonts w:cs="Arial"/>
          <w:b/>
          <w:i/>
        </w:rPr>
        <w:t>more complex forms of minor illnesses</w:t>
      </w:r>
      <w:r w:rsidRPr="0077283B">
        <w:rPr>
          <w:rFonts w:cs="Arial"/>
        </w:rPr>
        <w:t xml:space="preserve"> (e.g. severe migraines that are unresponsive to over-the-counter medicines).</w:t>
      </w:r>
    </w:p>
    <w:p w:rsidR="00D947B9" w:rsidRPr="0077283B" w:rsidRDefault="00D947B9" w:rsidP="003D2666">
      <w:pPr>
        <w:numPr>
          <w:ilvl w:val="0"/>
          <w:numId w:val="1"/>
        </w:numPr>
        <w:jc w:val="both"/>
        <w:rPr>
          <w:rFonts w:cs="Arial"/>
        </w:rPr>
      </w:pPr>
      <w:r w:rsidRPr="0077283B">
        <w:rPr>
          <w:rFonts w:cs="Arial"/>
        </w:rPr>
        <w:t xml:space="preserve">For those patients that have symptoms that suggest the </w:t>
      </w:r>
      <w:r w:rsidRPr="0077283B">
        <w:rPr>
          <w:rFonts w:cs="Arial"/>
          <w:b/>
          <w:i/>
        </w:rPr>
        <w:t>condition is not minor</w:t>
      </w:r>
      <w:r w:rsidRPr="0077283B">
        <w:rPr>
          <w:rFonts w:cs="Arial"/>
        </w:rPr>
        <w:t xml:space="preserve"> (i.e. those with red flag symptoms for example indigestion with very bad pain.)</w:t>
      </w:r>
    </w:p>
    <w:p w:rsidR="00D947B9" w:rsidRDefault="00D947B9" w:rsidP="003D2666">
      <w:pPr>
        <w:numPr>
          <w:ilvl w:val="0"/>
          <w:numId w:val="1"/>
        </w:numPr>
        <w:jc w:val="both"/>
        <w:rPr>
          <w:rFonts w:cs="Arial"/>
        </w:rPr>
      </w:pPr>
      <w:r w:rsidRPr="0077283B">
        <w:rPr>
          <w:rFonts w:cs="Arial"/>
        </w:rPr>
        <w:t xml:space="preserve">Treatment for </w:t>
      </w:r>
      <w:r w:rsidRPr="0077283B">
        <w:rPr>
          <w:rFonts w:cs="Arial"/>
          <w:b/>
          <w:i/>
        </w:rPr>
        <w:t>complex patients</w:t>
      </w:r>
      <w:r w:rsidRPr="0077283B">
        <w:rPr>
          <w:rFonts w:cs="Arial"/>
        </w:rPr>
        <w:t xml:space="preserve"> (e.g. immunosuppressed patients).</w:t>
      </w:r>
    </w:p>
    <w:p w:rsidR="00FF6691" w:rsidRPr="0077283B" w:rsidRDefault="00FF6691" w:rsidP="003D2666">
      <w:pPr>
        <w:numPr>
          <w:ilvl w:val="0"/>
          <w:numId w:val="1"/>
        </w:numPr>
        <w:jc w:val="both"/>
        <w:rPr>
          <w:rFonts w:cs="Arial"/>
        </w:rPr>
      </w:pPr>
      <w:r>
        <w:rPr>
          <w:rFonts w:cs="Arial"/>
        </w:rPr>
        <w:t>Patients on prescription only treatments.</w:t>
      </w:r>
    </w:p>
    <w:p w:rsidR="00D947B9" w:rsidRPr="0077283B" w:rsidRDefault="00D947B9" w:rsidP="003D2666">
      <w:pPr>
        <w:numPr>
          <w:ilvl w:val="0"/>
          <w:numId w:val="1"/>
        </w:numPr>
        <w:jc w:val="both"/>
        <w:rPr>
          <w:rFonts w:cs="Arial"/>
        </w:rPr>
      </w:pPr>
      <w:r w:rsidRPr="0077283B">
        <w:rPr>
          <w:rFonts w:cs="Arial"/>
        </w:rPr>
        <w:t xml:space="preserve">Patients prescribed over-the-counter products to </w:t>
      </w:r>
      <w:r w:rsidRPr="0077283B">
        <w:rPr>
          <w:rFonts w:cs="Arial"/>
          <w:b/>
          <w:i/>
        </w:rPr>
        <w:t>treat an adverse effect or symptom of a more complex illness</w:t>
      </w:r>
      <w:r w:rsidRPr="0077283B">
        <w:rPr>
          <w:rFonts w:cs="Arial"/>
        </w:rPr>
        <w:t xml:space="preserve"> and/or prescription only medications should continue to have these products prescribed on the NHS.</w:t>
      </w:r>
    </w:p>
    <w:p w:rsidR="00D947B9" w:rsidRPr="0077283B" w:rsidRDefault="00D947B9" w:rsidP="003D2666">
      <w:pPr>
        <w:numPr>
          <w:ilvl w:val="0"/>
          <w:numId w:val="1"/>
        </w:numPr>
        <w:jc w:val="both"/>
        <w:rPr>
          <w:rFonts w:cs="Arial"/>
        </w:rPr>
      </w:pPr>
      <w:r w:rsidRPr="0077283B">
        <w:rPr>
          <w:rFonts w:cs="Arial"/>
        </w:rPr>
        <w:lastRenderedPageBreak/>
        <w:t xml:space="preserve">Circumstances where the </w:t>
      </w:r>
      <w:r w:rsidRPr="0077283B">
        <w:rPr>
          <w:rFonts w:cs="Arial"/>
          <w:b/>
          <w:i/>
        </w:rPr>
        <w:t>product licence doesn’t allow the product to be sold over the counter to certain groups of patients.</w:t>
      </w:r>
      <w:r w:rsidRPr="0077283B">
        <w:rPr>
          <w:rFonts w:cs="Arial"/>
        </w:rPr>
        <w:t xml:space="preserve"> This may vary by medicine, but could include babies, children and/or women who are pregnant or breast-feeding. Community Pharmacists will be aware of what these are and can advise accordingly.</w:t>
      </w:r>
    </w:p>
    <w:p w:rsidR="00D947B9" w:rsidRPr="0077283B" w:rsidRDefault="00D947B9" w:rsidP="003D2666">
      <w:pPr>
        <w:numPr>
          <w:ilvl w:val="0"/>
          <w:numId w:val="1"/>
        </w:numPr>
        <w:jc w:val="both"/>
        <w:rPr>
          <w:rFonts w:cs="Arial"/>
        </w:rPr>
      </w:pPr>
      <w:r w:rsidRPr="0077283B">
        <w:rPr>
          <w:rFonts w:cs="Arial"/>
        </w:rPr>
        <w:t xml:space="preserve">Patients with a minor condition suitable for self-care that has </w:t>
      </w:r>
      <w:r w:rsidRPr="0077283B">
        <w:rPr>
          <w:rFonts w:cs="Arial"/>
          <w:b/>
          <w:i/>
        </w:rPr>
        <w:t>not responded sufficiently</w:t>
      </w:r>
      <w:r w:rsidRPr="0077283B">
        <w:rPr>
          <w:rFonts w:cs="Arial"/>
        </w:rPr>
        <w:t xml:space="preserve"> to treatment with an OTC product.</w:t>
      </w:r>
    </w:p>
    <w:p w:rsidR="00D947B9" w:rsidRPr="00217A72" w:rsidRDefault="00D947B9" w:rsidP="00217A72">
      <w:pPr>
        <w:numPr>
          <w:ilvl w:val="0"/>
          <w:numId w:val="1"/>
        </w:numPr>
        <w:jc w:val="both"/>
        <w:rPr>
          <w:rFonts w:cs="Arial"/>
        </w:rPr>
      </w:pPr>
      <w:r w:rsidRPr="0077283B">
        <w:rPr>
          <w:rFonts w:cs="Arial"/>
        </w:rPr>
        <w:t xml:space="preserve">Patients where the clinician considers that the presenting symptom is due to a condition that would </w:t>
      </w:r>
      <w:r w:rsidRPr="0077283B">
        <w:rPr>
          <w:rFonts w:cs="Arial"/>
          <w:b/>
          <w:i/>
        </w:rPr>
        <w:t>not be considered a minor condition</w:t>
      </w:r>
      <w:r w:rsidRPr="0077283B">
        <w:rPr>
          <w:rFonts w:cs="Arial"/>
        </w:rPr>
        <w:t>.</w:t>
      </w:r>
    </w:p>
    <w:p w:rsidR="00D947B9" w:rsidRPr="0077283B" w:rsidRDefault="00D947B9" w:rsidP="003D2666">
      <w:pPr>
        <w:numPr>
          <w:ilvl w:val="0"/>
          <w:numId w:val="1"/>
        </w:numPr>
        <w:jc w:val="both"/>
        <w:rPr>
          <w:rFonts w:cs="Arial"/>
        </w:rPr>
      </w:pPr>
      <w:r w:rsidRPr="0077283B">
        <w:rPr>
          <w:rFonts w:cs="Arial"/>
        </w:rPr>
        <w:t xml:space="preserve">Individual patients where the clinician considers that </w:t>
      </w:r>
      <w:r w:rsidRPr="0077283B">
        <w:rPr>
          <w:rFonts w:cs="Arial"/>
          <w:b/>
          <w:i/>
        </w:rPr>
        <w:t>their ability to self-manage is compromised</w:t>
      </w:r>
      <w:r w:rsidRPr="0077283B">
        <w:rPr>
          <w:rFonts w:cs="Arial"/>
        </w:rPr>
        <w:t xml:space="preserve"> as a consequence of medical, mental health or significant social vulnerability to the extent that their health and/or wellbeing could be adversely affected, if reliant on self-care.  Please note that being exempt from paying a prescription charge does not automatically warrant an exception to the guidance. Consideration should also be given to safeguarding issues.</w:t>
      </w:r>
    </w:p>
    <w:p w:rsidR="00A64236" w:rsidRDefault="00A64236" w:rsidP="00951B16">
      <w:pPr>
        <w:jc w:val="both"/>
        <w:rPr>
          <w:rFonts w:cs="Arial"/>
          <w:b/>
        </w:rPr>
      </w:pPr>
    </w:p>
    <w:p w:rsidR="00951B16" w:rsidRPr="006F6059" w:rsidRDefault="00951B16" w:rsidP="00951B16">
      <w:pPr>
        <w:jc w:val="both"/>
        <w:rPr>
          <w:rFonts w:cs="Arial"/>
          <w:b/>
        </w:rPr>
      </w:pPr>
      <w:r w:rsidRPr="006F6059">
        <w:rPr>
          <w:rFonts w:cs="Arial"/>
          <w:b/>
        </w:rPr>
        <w:t>Some products including vitamin and mineral supplements, eye vitamins, glucosamine and chondroitin, homeopathy, rubefacients and herbal treatments will no longer be prescribed in any circumstances as there is not enough evidence of effectiveness. They can all be purchased.</w:t>
      </w:r>
    </w:p>
    <w:p w:rsidR="00BC6B2C" w:rsidRPr="0077283B" w:rsidRDefault="00BC6B2C" w:rsidP="003D2666">
      <w:pPr>
        <w:jc w:val="both"/>
        <w:rPr>
          <w:rFonts w:cs="Arial"/>
        </w:rPr>
      </w:pPr>
    </w:p>
    <w:p w:rsidR="002C5C0C" w:rsidRPr="005E7342" w:rsidRDefault="005E7342" w:rsidP="003D2666">
      <w:pPr>
        <w:jc w:val="both"/>
        <w:rPr>
          <w:rFonts w:cs="Arial"/>
          <w:b/>
          <w:sz w:val="24"/>
          <w:szCs w:val="24"/>
          <w:u w:val="single"/>
        </w:rPr>
      </w:pPr>
      <w:r>
        <w:rPr>
          <w:rFonts w:cs="Arial"/>
          <w:b/>
          <w:sz w:val="24"/>
          <w:szCs w:val="24"/>
          <w:u w:val="single"/>
        </w:rPr>
        <w:t>P</w:t>
      </w:r>
      <w:r w:rsidR="002C5C0C" w:rsidRPr="005E7342">
        <w:rPr>
          <w:rFonts w:cs="Arial"/>
          <w:b/>
          <w:sz w:val="24"/>
          <w:szCs w:val="24"/>
          <w:u w:val="single"/>
        </w:rPr>
        <w:t>atients who do not meet one of the exception criteria</w:t>
      </w:r>
    </w:p>
    <w:p w:rsidR="002C5C0C" w:rsidRPr="0013549B" w:rsidRDefault="008844F1" w:rsidP="0013549B">
      <w:pPr>
        <w:pStyle w:val="ListParagraph"/>
        <w:numPr>
          <w:ilvl w:val="0"/>
          <w:numId w:val="9"/>
        </w:numPr>
        <w:jc w:val="both"/>
        <w:rPr>
          <w:rFonts w:cs="Arial"/>
          <w:b/>
          <w:u w:val="single"/>
        </w:rPr>
      </w:pPr>
      <w:r w:rsidRPr="0013549B">
        <w:rPr>
          <w:rFonts w:cs="Arial"/>
          <w:b/>
          <w:u w:val="single"/>
        </w:rPr>
        <w:t>Care home patients</w:t>
      </w:r>
    </w:p>
    <w:p w:rsidR="002C5C0C" w:rsidRPr="0077283B" w:rsidRDefault="002C5C0C" w:rsidP="003D2666">
      <w:pPr>
        <w:jc w:val="both"/>
        <w:rPr>
          <w:rFonts w:cs="Arial"/>
        </w:rPr>
      </w:pPr>
      <w:r w:rsidRPr="0077283B">
        <w:rPr>
          <w:rFonts w:cs="Arial"/>
        </w:rPr>
        <w:t>There are two pathways whereby a patient in a car</w:t>
      </w:r>
      <w:r w:rsidR="008844F1">
        <w:rPr>
          <w:rFonts w:cs="Arial"/>
        </w:rPr>
        <w:t>e home may obtain OTC medicines:</w:t>
      </w:r>
      <w:r w:rsidR="00695D85" w:rsidRPr="0077283B">
        <w:rPr>
          <w:rFonts w:cs="Arial"/>
        </w:rPr>
        <w:t xml:space="preserve"> </w:t>
      </w:r>
    </w:p>
    <w:p w:rsidR="002C5C0C" w:rsidRPr="000A1D2D" w:rsidRDefault="008844F1" w:rsidP="006844CF">
      <w:pPr>
        <w:ind w:firstLine="720"/>
        <w:jc w:val="both"/>
        <w:rPr>
          <w:rFonts w:cs="Arial"/>
          <w:b/>
          <w:i/>
        </w:rPr>
      </w:pPr>
      <w:r w:rsidRPr="000A1D2D">
        <w:rPr>
          <w:rFonts w:cs="Arial"/>
          <w:b/>
          <w:i/>
        </w:rPr>
        <w:t xml:space="preserve">A) </w:t>
      </w:r>
      <w:r w:rsidR="002C5C0C" w:rsidRPr="000A1D2D">
        <w:rPr>
          <w:rFonts w:cs="Arial"/>
          <w:b/>
          <w:i/>
        </w:rPr>
        <w:t>Patient</w:t>
      </w:r>
      <w:r w:rsidR="00FF7C18" w:rsidRPr="000A1D2D">
        <w:rPr>
          <w:rFonts w:cs="Arial"/>
          <w:b/>
          <w:i/>
        </w:rPr>
        <w:t>-</w:t>
      </w:r>
      <w:r w:rsidR="002C5C0C" w:rsidRPr="000A1D2D">
        <w:rPr>
          <w:rFonts w:cs="Arial"/>
          <w:b/>
          <w:i/>
        </w:rPr>
        <w:t>led self</w:t>
      </w:r>
      <w:r w:rsidR="00FF7C18" w:rsidRPr="000A1D2D">
        <w:rPr>
          <w:rFonts w:cs="Arial"/>
          <w:b/>
          <w:i/>
        </w:rPr>
        <w:t>-</w:t>
      </w:r>
      <w:r w:rsidR="002C5C0C" w:rsidRPr="000A1D2D">
        <w:rPr>
          <w:rFonts w:cs="Arial"/>
          <w:b/>
          <w:i/>
        </w:rPr>
        <w:t>assessment of a</w:t>
      </w:r>
      <w:r w:rsidR="007A472A" w:rsidRPr="000A1D2D">
        <w:rPr>
          <w:rFonts w:cs="Arial"/>
          <w:b/>
          <w:i/>
        </w:rPr>
        <w:t xml:space="preserve">ilment with support from carers: </w:t>
      </w:r>
    </w:p>
    <w:p w:rsidR="00695D85" w:rsidRPr="0077283B" w:rsidRDefault="002C5C0C" w:rsidP="00A64236">
      <w:pPr>
        <w:ind w:left="720"/>
        <w:jc w:val="both"/>
        <w:rPr>
          <w:rFonts w:cs="Arial"/>
        </w:rPr>
      </w:pPr>
      <w:r w:rsidRPr="0077283B">
        <w:rPr>
          <w:rFonts w:cs="Arial"/>
        </w:rPr>
        <w:t xml:space="preserve">There is provision for the patient to self-assess the ailment with support from carers or relatives. If the ailment can be treated with a homely remedy, for the indication stated within the home’s Homely Remedy Procedure, then this OTC medicine can be administered according to the instructions on its box. </w:t>
      </w:r>
      <w:r w:rsidRPr="00FF7C18">
        <w:rPr>
          <w:rFonts w:cs="Arial"/>
          <w:u w:val="single"/>
        </w:rPr>
        <w:t>Please note</w:t>
      </w:r>
      <w:r w:rsidR="00FF7C18" w:rsidRPr="00FF7C18">
        <w:rPr>
          <w:rFonts w:cs="Arial"/>
          <w:u w:val="single"/>
        </w:rPr>
        <w:t>:</w:t>
      </w:r>
      <w:r w:rsidRPr="0077283B">
        <w:rPr>
          <w:rFonts w:cs="Arial"/>
        </w:rPr>
        <w:t xml:space="preserve"> </w:t>
      </w:r>
      <w:r w:rsidR="00FF7C18">
        <w:rPr>
          <w:rFonts w:cs="Arial"/>
        </w:rPr>
        <w:t>I</w:t>
      </w:r>
      <w:r w:rsidRPr="0077283B">
        <w:rPr>
          <w:rFonts w:cs="Arial"/>
        </w:rPr>
        <w:t xml:space="preserve">t is the responsibility of the senior carer or duty nurse to check that the administration of the homely remedy is appropriate. If there is any uncertainty </w:t>
      </w:r>
      <w:r w:rsidR="006844CF">
        <w:rPr>
          <w:rFonts w:cs="Arial"/>
        </w:rPr>
        <w:t>a</w:t>
      </w:r>
      <w:r w:rsidRPr="0077283B">
        <w:rPr>
          <w:rFonts w:cs="Arial"/>
        </w:rPr>
        <w:t xml:space="preserve"> </w:t>
      </w:r>
      <w:r w:rsidR="006844CF">
        <w:rPr>
          <w:rFonts w:cs="Arial"/>
        </w:rPr>
        <w:t>healthcare professional (</w:t>
      </w:r>
      <w:r w:rsidRPr="0077283B">
        <w:rPr>
          <w:rFonts w:cs="Arial"/>
        </w:rPr>
        <w:t>pharmacist</w:t>
      </w:r>
      <w:r w:rsidR="00CC6670">
        <w:rPr>
          <w:rFonts w:cs="Arial"/>
        </w:rPr>
        <w:t>, nurse or GP</w:t>
      </w:r>
      <w:r w:rsidR="006844CF">
        <w:rPr>
          <w:rFonts w:cs="Arial"/>
        </w:rPr>
        <w:t>)</w:t>
      </w:r>
      <w:r w:rsidR="00CC6670">
        <w:rPr>
          <w:rFonts w:cs="Arial"/>
        </w:rPr>
        <w:t xml:space="preserve"> </w:t>
      </w:r>
      <w:r w:rsidRPr="0077283B">
        <w:rPr>
          <w:rFonts w:cs="Arial"/>
        </w:rPr>
        <w:t>should be consulted and the discussion documented. Care homes are reminded that they are expected to have a homely remedy policy in place for appropriate treatments required for up to 48 hours. For more information, see the</w:t>
      </w:r>
      <w:r w:rsidR="009C3AC6">
        <w:rPr>
          <w:rFonts w:cs="Arial"/>
        </w:rPr>
        <w:t xml:space="preserve"> </w:t>
      </w:r>
      <w:hyperlink r:id="rId9" w:history="1">
        <w:r w:rsidR="009C3AC6" w:rsidRPr="009C3AC6">
          <w:rPr>
            <w:rStyle w:val="Hyperlink"/>
            <w:rFonts w:cs="Arial"/>
          </w:rPr>
          <w:t>homely remedies guidance</w:t>
        </w:r>
      </w:hyperlink>
      <w:r w:rsidR="009C3AC6">
        <w:rPr>
          <w:rFonts w:cs="Arial"/>
        </w:rPr>
        <w:t xml:space="preserve"> for care homes</w:t>
      </w:r>
      <w:r w:rsidRPr="0077283B">
        <w:rPr>
          <w:rFonts w:cs="Arial"/>
        </w:rPr>
        <w:t>.  </w:t>
      </w:r>
    </w:p>
    <w:p w:rsidR="00AF3720" w:rsidRDefault="00695D85" w:rsidP="00AF3720">
      <w:pPr>
        <w:rPr>
          <w:rFonts w:cs="Arial"/>
        </w:rPr>
      </w:pPr>
      <w:r w:rsidRPr="0077283B">
        <w:rPr>
          <w:rFonts w:cs="Arial"/>
          <w:color w:val="000000" w:themeColor="text1"/>
        </w:rPr>
        <w:t xml:space="preserve">If your care home does not have a ‘homely remedy’ policy in place, please contact </w:t>
      </w:r>
      <w:r w:rsidR="00AF3720">
        <w:rPr>
          <w:rFonts w:cs="Arial"/>
          <w:color w:val="000000" w:themeColor="text1"/>
        </w:rPr>
        <w:t>the</w:t>
      </w:r>
      <w:r w:rsidRPr="0077283B">
        <w:rPr>
          <w:rFonts w:cs="Arial"/>
          <w:color w:val="000000" w:themeColor="text1"/>
        </w:rPr>
        <w:t xml:space="preserve"> CCG pharmacy team </w:t>
      </w:r>
      <w:r w:rsidR="00FF7C18">
        <w:rPr>
          <w:rFonts w:cs="Arial"/>
          <w:color w:val="000000" w:themeColor="text1"/>
        </w:rPr>
        <w:t>who</w:t>
      </w:r>
      <w:r w:rsidR="00FF7C18" w:rsidRPr="0077283B">
        <w:rPr>
          <w:rFonts w:cs="Arial"/>
          <w:color w:val="000000" w:themeColor="text1"/>
        </w:rPr>
        <w:t xml:space="preserve"> </w:t>
      </w:r>
      <w:r w:rsidRPr="0077283B">
        <w:rPr>
          <w:rFonts w:cs="Arial"/>
          <w:color w:val="000000" w:themeColor="text1"/>
        </w:rPr>
        <w:t>will advise you</w:t>
      </w:r>
      <w:r w:rsidR="006844CF">
        <w:rPr>
          <w:rFonts w:cs="Arial"/>
          <w:color w:val="000000" w:themeColor="text1"/>
        </w:rPr>
        <w:t>. (</w:t>
      </w:r>
      <w:r w:rsidRPr="0077283B">
        <w:rPr>
          <w:rFonts w:cs="Arial"/>
          <w:color w:val="000000" w:themeColor="text1"/>
        </w:rPr>
        <w:t>E</w:t>
      </w:r>
      <w:r w:rsidR="00FF7C18">
        <w:rPr>
          <w:rFonts w:cs="Arial"/>
          <w:color w:val="000000" w:themeColor="text1"/>
        </w:rPr>
        <w:t xml:space="preserve">ast and </w:t>
      </w:r>
      <w:r w:rsidRPr="0077283B">
        <w:rPr>
          <w:rFonts w:cs="Arial"/>
          <w:color w:val="000000" w:themeColor="text1"/>
        </w:rPr>
        <w:t>N</w:t>
      </w:r>
      <w:r w:rsidR="00FF7C18">
        <w:rPr>
          <w:rFonts w:cs="Arial"/>
          <w:color w:val="000000" w:themeColor="text1"/>
        </w:rPr>
        <w:t xml:space="preserve">orth </w:t>
      </w:r>
      <w:r w:rsidRPr="0077283B">
        <w:rPr>
          <w:rFonts w:cs="Arial"/>
          <w:color w:val="000000" w:themeColor="text1"/>
        </w:rPr>
        <w:t>H</w:t>
      </w:r>
      <w:r w:rsidR="00FF7C18">
        <w:rPr>
          <w:rFonts w:cs="Arial"/>
          <w:color w:val="000000" w:themeColor="text1"/>
        </w:rPr>
        <w:t xml:space="preserve">erts </w:t>
      </w:r>
      <w:r w:rsidRPr="0077283B">
        <w:rPr>
          <w:rFonts w:cs="Arial"/>
          <w:color w:val="000000" w:themeColor="text1"/>
        </w:rPr>
        <w:t>CCG: 01707 68520</w:t>
      </w:r>
      <w:r w:rsidR="006844CF">
        <w:rPr>
          <w:rFonts w:cs="Arial"/>
          <w:color w:val="000000" w:themeColor="text1"/>
        </w:rPr>
        <w:t>7)</w:t>
      </w:r>
      <w:r w:rsidR="00FF7C18">
        <w:rPr>
          <w:rFonts w:cs="Arial"/>
          <w:color w:val="000000" w:themeColor="text1"/>
        </w:rPr>
        <w:br/>
      </w:r>
    </w:p>
    <w:p w:rsidR="002C5C0C" w:rsidRPr="0077283B" w:rsidRDefault="00FF7C18" w:rsidP="006844CF">
      <w:pPr>
        <w:rPr>
          <w:rFonts w:cs="Arial"/>
        </w:rPr>
      </w:pPr>
      <w:r>
        <w:rPr>
          <w:rFonts w:cs="Arial"/>
        </w:rPr>
        <w:lastRenderedPageBreak/>
        <w:t>Alternatively, following self-</w:t>
      </w:r>
      <w:r w:rsidR="002C5C0C" w:rsidRPr="0077283B">
        <w:rPr>
          <w:rFonts w:cs="Arial"/>
        </w:rPr>
        <w:t xml:space="preserve">assessment of the ailment, an OTC medicine may be </w:t>
      </w:r>
      <w:r w:rsidR="002C5C0C" w:rsidRPr="0077283B">
        <w:rPr>
          <w:rFonts w:cs="Arial"/>
          <w:i/>
        </w:rPr>
        <w:t>purchased</w:t>
      </w:r>
      <w:r w:rsidR="002C5C0C" w:rsidRPr="0077283B">
        <w:rPr>
          <w:rFonts w:cs="Arial"/>
        </w:rPr>
        <w:t xml:space="preserve"> (see Purchasing OTC medicines below</w:t>
      </w:r>
      <w:r>
        <w:rPr>
          <w:rFonts w:cs="Arial"/>
        </w:rPr>
        <w:t xml:space="preserve"> on page </w:t>
      </w:r>
      <w:r w:rsidR="0038714D">
        <w:rPr>
          <w:rFonts w:cs="Arial"/>
        </w:rPr>
        <w:t>4</w:t>
      </w:r>
      <w:r w:rsidR="002C5C0C" w:rsidRPr="0077283B">
        <w:rPr>
          <w:rFonts w:cs="Arial"/>
        </w:rPr>
        <w:t xml:space="preserve">). </w:t>
      </w:r>
    </w:p>
    <w:p w:rsidR="002C5C0C" w:rsidRPr="000A1D2D" w:rsidRDefault="008844F1" w:rsidP="006844CF">
      <w:pPr>
        <w:ind w:firstLine="360"/>
        <w:jc w:val="both"/>
        <w:rPr>
          <w:rFonts w:cs="Arial"/>
          <w:b/>
          <w:i/>
        </w:rPr>
      </w:pPr>
      <w:r w:rsidRPr="000A1D2D">
        <w:rPr>
          <w:rFonts w:cs="Arial"/>
          <w:b/>
          <w:i/>
        </w:rPr>
        <w:t xml:space="preserve">B) </w:t>
      </w:r>
      <w:r w:rsidR="002C5C0C" w:rsidRPr="000A1D2D">
        <w:rPr>
          <w:rFonts w:cs="Arial"/>
          <w:b/>
          <w:i/>
        </w:rPr>
        <w:t>Assessment of ailment requires input from a health care professional</w:t>
      </w:r>
      <w:r w:rsidRPr="000A1D2D">
        <w:rPr>
          <w:rFonts w:cs="Arial"/>
          <w:b/>
          <w:i/>
        </w:rPr>
        <w:t xml:space="preserve">: </w:t>
      </w:r>
    </w:p>
    <w:p w:rsidR="003D2666" w:rsidRDefault="002C5C0C" w:rsidP="00A64236">
      <w:pPr>
        <w:ind w:left="360"/>
        <w:jc w:val="both"/>
        <w:rPr>
          <w:rFonts w:cs="Arial"/>
        </w:rPr>
      </w:pPr>
      <w:r w:rsidRPr="0077283B">
        <w:rPr>
          <w:rFonts w:cs="Arial"/>
        </w:rPr>
        <w:t xml:space="preserve">If the carer or patient is unable to self-assess the ailment, the pharmacist or GP can be consulted. The consultation may be verbal e.g. over the telephone or face to face (at the home, pharmacy or GP practice) and this can be directly with the patient or with the carer acting as a patient advocate (consent must be </w:t>
      </w:r>
      <w:r w:rsidR="00722271">
        <w:rPr>
          <w:rFonts w:cs="Arial"/>
        </w:rPr>
        <w:t>sought</w:t>
      </w:r>
      <w:r w:rsidRPr="0077283B">
        <w:rPr>
          <w:rFonts w:cs="Arial"/>
        </w:rPr>
        <w:t xml:space="preserve"> for advocacy).</w:t>
      </w:r>
      <w:r w:rsidR="00BA4994">
        <w:rPr>
          <w:rFonts w:cs="Arial"/>
        </w:rPr>
        <w:t xml:space="preserve"> </w:t>
      </w:r>
      <w:r w:rsidR="00E55679">
        <w:rPr>
          <w:rFonts w:cs="Arial"/>
        </w:rPr>
        <w:t>Please note that any verbal advice to carers regarding the choice of OTC product should be followed up in writing (</w:t>
      </w:r>
      <w:r w:rsidR="00E7099E">
        <w:rPr>
          <w:rFonts w:cs="Arial"/>
        </w:rPr>
        <w:t xml:space="preserve">such as </w:t>
      </w:r>
      <w:r w:rsidR="00E55679">
        <w:rPr>
          <w:rFonts w:cs="Arial"/>
        </w:rPr>
        <w:t>email) by the health care professional</w:t>
      </w:r>
      <w:r w:rsidR="00D3251C">
        <w:rPr>
          <w:rFonts w:cs="Arial"/>
        </w:rPr>
        <w:t xml:space="preserve"> (</w:t>
      </w:r>
      <w:r w:rsidR="00CC6670">
        <w:rPr>
          <w:rFonts w:cs="Arial"/>
        </w:rPr>
        <w:t>pharmacist,</w:t>
      </w:r>
      <w:r w:rsidR="00D3251C">
        <w:rPr>
          <w:rFonts w:cs="Arial"/>
        </w:rPr>
        <w:t xml:space="preserve"> nurse</w:t>
      </w:r>
      <w:r w:rsidR="00CC6670">
        <w:rPr>
          <w:rFonts w:cs="Arial"/>
        </w:rPr>
        <w:t xml:space="preserve"> or GP</w:t>
      </w:r>
      <w:r w:rsidR="00D3251C">
        <w:rPr>
          <w:rFonts w:cs="Arial"/>
        </w:rPr>
        <w:t>)</w:t>
      </w:r>
      <w:r w:rsidR="00E55679">
        <w:rPr>
          <w:rFonts w:cs="Arial"/>
        </w:rPr>
        <w:t xml:space="preserve">. </w:t>
      </w:r>
    </w:p>
    <w:p w:rsidR="006844CF" w:rsidRDefault="006844CF" w:rsidP="00A64236">
      <w:pPr>
        <w:ind w:left="360"/>
        <w:jc w:val="both"/>
        <w:rPr>
          <w:rFonts w:cs="Arial"/>
        </w:rPr>
      </w:pPr>
    </w:p>
    <w:p w:rsidR="00E15050" w:rsidRPr="0013549B" w:rsidRDefault="008844F1" w:rsidP="0013549B">
      <w:pPr>
        <w:pStyle w:val="ListParagraph"/>
        <w:numPr>
          <w:ilvl w:val="0"/>
          <w:numId w:val="9"/>
        </w:numPr>
        <w:rPr>
          <w:rFonts w:cs="Arial"/>
          <w:b/>
          <w:u w:val="single"/>
        </w:rPr>
      </w:pPr>
      <w:r w:rsidRPr="0013549B">
        <w:rPr>
          <w:rFonts w:cs="Arial"/>
          <w:b/>
          <w:u w:val="single"/>
        </w:rPr>
        <w:t>H</w:t>
      </w:r>
      <w:r w:rsidR="00695D85" w:rsidRPr="0013549B">
        <w:rPr>
          <w:rFonts w:cs="Arial"/>
          <w:b/>
          <w:u w:val="single"/>
        </w:rPr>
        <w:t>ome care</w:t>
      </w:r>
      <w:r w:rsidRPr="0013549B">
        <w:rPr>
          <w:rFonts w:cs="Arial"/>
          <w:b/>
          <w:u w:val="single"/>
        </w:rPr>
        <w:t xml:space="preserve"> patients</w:t>
      </w:r>
    </w:p>
    <w:p w:rsidR="00695D85" w:rsidRDefault="00442BEE" w:rsidP="006C0E55">
      <w:pPr>
        <w:jc w:val="both"/>
        <w:rPr>
          <w:rFonts w:cs="Arial"/>
        </w:rPr>
      </w:pPr>
      <w:r w:rsidRPr="0077283B">
        <w:rPr>
          <w:rFonts w:cs="Arial"/>
        </w:rPr>
        <w:t>P</w:t>
      </w:r>
      <w:r w:rsidR="00695D85" w:rsidRPr="0077283B">
        <w:rPr>
          <w:rFonts w:cs="Arial"/>
        </w:rPr>
        <w:t>atients are encouraged to take ownership of their health needs</w:t>
      </w:r>
      <w:r w:rsidR="006C0E55" w:rsidRPr="0077283B">
        <w:rPr>
          <w:rFonts w:cs="Arial"/>
        </w:rPr>
        <w:t xml:space="preserve"> and may be able to self-assess the ailment with support from carers or relatives, however, if they are unable to assess, the pharmacist or GP can be consulted as </w:t>
      </w:r>
      <w:r w:rsidR="008C7AA9">
        <w:rPr>
          <w:rFonts w:cs="Arial"/>
        </w:rPr>
        <w:t xml:space="preserve">described in the care home </w:t>
      </w:r>
      <w:proofErr w:type="gramStart"/>
      <w:r w:rsidR="008C7AA9">
        <w:rPr>
          <w:rFonts w:cs="Arial"/>
        </w:rPr>
        <w:t>patients</w:t>
      </w:r>
      <w:proofErr w:type="gramEnd"/>
      <w:r w:rsidR="008C7AA9">
        <w:rPr>
          <w:rFonts w:cs="Arial"/>
        </w:rPr>
        <w:t xml:space="preserve"> section, above</w:t>
      </w:r>
      <w:r w:rsidR="006C0E55" w:rsidRPr="0077283B">
        <w:rPr>
          <w:rFonts w:cs="Arial"/>
        </w:rPr>
        <w:t xml:space="preserve">. </w:t>
      </w:r>
    </w:p>
    <w:p w:rsidR="006844CF" w:rsidRDefault="006844CF" w:rsidP="006C0E55">
      <w:pPr>
        <w:jc w:val="both"/>
        <w:rPr>
          <w:rFonts w:cs="Arial"/>
        </w:rPr>
      </w:pPr>
    </w:p>
    <w:p w:rsidR="00695D85" w:rsidRPr="0013549B" w:rsidRDefault="00695D85" w:rsidP="0013549B">
      <w:pPr>
        <w:pStyle w:val="ListParagraph"/>
        <w:numPr>
          <w:ilvl w:val="0"/>
          <w:numId w:val="9"/>
        </w:numPr>
        <w:rPr>
          <w:rFonts w:cs="Arial"/>
          <w:b/>
          <w:u w:val="single"/>
        </w:rPr>
      </w:pPr>
      <w:r w:rsidRPr="0013549B">
        <w:rPr>
          <w:rFonts w:cs="Arial"/>
          <w:b/>
          <w:u w:val="single"/>
        </w:rPr>
        <w:t xml:space="preserve">Learning disability </w:t>
      </w:r>
      <w:r w:rsidR="005E7342" w:rsidRPr="0013549B">
        <w:rPr>
          <w:rFonts w:cs="Arial"/>
          <w:b/>
          <w:u w:val="single"/>
        </w:rPr>
        <w:t xml:space="preserve">(LD) </w:t>
      </w:r>
      <w:r w:rsidRPr="0013549B">
        <w:rPr>
          <w:rFonts w:cs="Arial"/>
          <w:b/>
          <w:u w:val="single"/>
        </w:rPr>
        <w:t>patients</w:t>
      </w:r>
    </w:p>
    <w:p w:rsidR="00503B4E" w:rsidRDefault="00695D85" w:rsidP="00503B4E">
      <w:pPr>
        <w:jc w:val="both"/>
      </w:pPr>
      <w:r w:rsidRPr="0077283B">
        <w:rPr>
          <w:rFonts w:cs="Arial"/>
        </w:rPr>
        <w:t xml:space="preserve">Where a patient is identified as having a LD, there are variations to the extent to which this will affect the individual’s ability to make informed decisions around their health and how they self-manage their conditions. </w:t>
      </w:r>
    </w:p>
    <w:p w:rsidR="007A472A" w:rsidRDefault="007A472A" w:rsidP="00503B4E">
      <w:pPr>
        <w:jc w:val="both"/>
      </w:pPr>
      <w:r w:rsidRPr="0077283B">
        <w:rPr>
          <w:rFonts w:cs="Arial"/>
        </w:rPr>
        <w:t xml:space="preserve">It is a requirement </w:t>
      </w:r>
      <w:r w:rsidR="007F5D79">
        <w:rPr>
          <w:rFonts w:cs="Arial"/>
        </w:rPr>
        <w:t xml:space="preserve">of the Equality Act </w:t>
      </w:r>
      <w:r w:rsidRPr="0077283B">
        <w:rPr>
          <w:rFonts w:cs="Arial"/>
        </w:rPr>
        <w:t>to protect and empower those who may not have the mental capacity to make their own decisions. An individual with a learning disability must be assumed to have capacity, unless it is established that he/she lacks capacity. It is also a legislat</w:t>
      </w:r>
      <w:r w:rsidR="007F5D79">
        <w:rPr>
          <w:rFonts w:cs="Arial"/>
        </w:rPr>
        <w:t>ive</w:t>
      </w:r>
      <w:r w:rsidRPr="0077283B">
        <w:rPr>
          <w:rFonts w:cs="Arial"/>
        </w:rPr>
        <w:t xml:space="preserve"> requirement to take into consideration how a physical or mental disability can impact a patient’s ability to complete normal day to day activities</w:t>
      </w:r>
      <w:r w:rsidR="00503B4E">
        <w:rPr>
          <w:rFonts w:cs="Arial"/>
        </w:rPr>
        <w:t xml:space="preserve">. </w:t>
      </w:r>
    </w:p>
    <w:p w:rsidR="00503B4E" w:rsidRPr="0077283B" w:rsidRDefault="00503B4E" w:rsidP="00503B4E">
      <w:pPr>
        <w:jc w:val="both"/>
        <w:rPr>
          <w:rFonts w:cs="Arial"/>
        </w:rPr>
      </w:pPr>
      <w:r>
        <w:rPr>
          <w:rFonts w:cs="Arial"/>
        </w:rPr>
        <w:t>Irrespective of the social care setting the patient is in</w:t>
      </w:r>
      <w:r>
        <w:t>, a</w:t>
      </w:r>
      <w:r w:rsidR="007A472A">
        <w:t xml:space="preserve">ll LD patients requiring access to OTC medication for a minor ailment condition should be assessed on a case by case basis by their prescriber, in order to determine if the patient, in line with local OTC policy, can be referred to purchase the required OTC medication. </w:t>
      </w:r>
      <w:r w:rsidRPr="0077283B">
        <w:rPr>
          <w:rFonts w:cs="Arial"/>
        </w:rPr>
        <w:t xml:space="preserve">If the patient is deemed </w:t>
      </w:r>
      <w:r w:rsidR="008C7AA9">
        <w:rPr>
          <w:rFonts w:cs="Arial"/>
        </w:rPr>
        <w:t>as</w:t>
      </w:r>
      <w:r w:rsidRPr="0077283B">
        <w:rPr>
          <w:rFonts w:cs="Arial"/>
        </w:rPr>
        <w:t xml:space="preserve"> having the capacity to make a decision and self-assess their ailment with help from their carer or relative, they</w:t>
      </w:r>
      <w:r>
        <w:rPr>
          <w:rFonts w:cs="Arial"/>
        </w:rPr>
        <w:t xml:space="preserve"> can be </w:t>
      </w:r>
      <w:r w:rsidRPr="0077283B">
        <w:rPr>
          <w:rFonts w:cs="Arial"/>
        </w:rPr>
        <w:t>advised to seek advice from a healthcare professional as</w:t>
      </w:r>
      <w:r w:rsidR="00217A72">
        <w:rPr>
          <w:rFonts w:cs="Arial"/>
        </w:rPr>
        <w:t xml:space="preserve"> described in the care home </w:t>
      </w:r>
      <w:proofErr w:type="gramStart"/>
      <w:r w:rsidR="00217A72">
        <w:rPr>
          <w:rFonts w:cs="Arial"/>
        </w:rPr>
        <w:t>patients</w:t>
      </w:r>
      <w:proofErr w:type="gramEnd"/>
      <w:r w:rsidR="00217A72">
        <w:rPr>
          <w:rFonts w:cs="Arial"/>
        </w:rPr>
        <w:t xml:space="preserve"> section, above</w:t>
      </w:r>
      <w:r w:rsidRPr="0077283B">
        <w:rPr>
          <w:rFonts w:cs="Arial"/>
        </w:rPr>
        <w:t>. If an individual is making a decision o</w:t>
      </w:r>
      <w:r w:rsidR="008C7AA9">
        <w:rPr>
          <w:rFonts w:cs="Arial"/>
        </w:rPr>
        <w:t>n</w:t>
      </w:r>
      <w:r w:rsidRPr="0077283B">
        <w:rPr>
          <w:rFonts w:cs="Arial"/>
        </w:rPr>
        <w:t xml:space="preserve"> behalf </w:t>
      </w:r>
      <w:r w:rsidR="008C7AA9">
        <w:rPr>
          <w:rFonts w:cs="Arial"/>
        </w:rPr>
        <w:t xml:space="preserve">of </w:t>
      </w:r>
      <w:r w:rsidRPr="0077283B">
        <w:rPr>
          <w:rFonts w:cs="Arial"/>
        </w:rPr>
        <w:t>a patient with learning disabilities who lack</w:t>
      </w:r>
      <w:r w:rsidR="008C7AA9">
        <w:rPr>
          <w:rFonts w:cs="Arial"/>
        </w:rPr>
        <w:t>s</w:t>
      </w:r>
      <w:r w:rsidRPr="0077283B">
        <w:rPr>
          <w:rFonts w:cs="Arial"/>
        </w:rPr>
        <w:t xml:space="preserve"> capacity, this must be done or made in the patient’s best interest</w:t>
      </w:r>
      <w:r w:rsidR="00217A72">
        <w:rPr>
          <w:rFonts w:cs="Arial"/>
        </w:rPr>
        <w:t xml:space="preserve"> (Mental Capacity Act, 2005)</w:t>
      </w:r>
      <w:r w:rsidRPr="0077283B">
        <w:rPr>
          <w:rFonts w:cs="Arial"/>
        </w:rPr>
        <w:t>.</w:t>
      </w:r>
    </w:p>
    <w:p w:rsidR="00A64236" w:rsidRDefault="00A64236">
      <w:pPr>
        <w:rPr>
          <w:rFonts w:cs="Arial"/>
          <w:b/>
          <w:sz w:val="24"/>
          <w:szCs w:val="24"/>
          <w:u w:val="single"/>
        </w:rPr>
      </w:pPr>
      <w:r>
        <w:rPr>
          <w:rFonts w:cs="Arial"/>
          <w:b/>
          <w:sz w:val="24"/>
          <w:szCs w:val="24"/>
          <w:u w:val="single"/>
        </w:rPr>
        <w:br w:type="page"/>
      </w:r>
    </w:p>
    <w:p w:rsidR="00695D85" w:rsidRPr="00BC2E54" w:rsidRDefault="00695D85" w:rsidP="003D2666">
      <w:pPr>
        <w:jc w:val="both"/>
        <w:rPr>
          <w:rFonts w:cs="Arial"/>
          <w:b/>
          <w:sz w:val="24"/>
          <w:szCs w:val="24"/>
          <w:u w:val="single"/>
        </w:rPr>
      </w:pPr>
      <w:r w:rsidRPr="00BC2E54">
        <w:rPr>
          <w:rFonts w:cs="Arial"/>
          <w:b/>
          <w:sz w:val="24"/>
          <w:szCs w:val="24"/>
          <w:u w:val="single"/>
        </w:rPr>
        <w:lastRenderedPageBreak/>
        <w:t>Purchasing OTC medicines</w:t>
      </w:r>
    </w:p>
    <w:p w:rsidR="006844CF" w:rsidRDefault="004A7F11" w:rsidP="006844CF">
      <w:pPr>
        <w:jc w:val="both"/>
        <w:rPr>
          <w:rFonts w:cs="Arial"/>
          <w:b/>
          <w:sz w:val="24"/>
          <w:szCs w:val="24"/>
          <w:u w:val="single"/>
        </w:rPr>
      </w:pPr>
      <w:r w:rsidRPr="0077283B">
        <w:rPr>
          <w:rFonts w:cs="Arial"/>
        </w:rPr>
        <w:t>Over-the-counter (OTC) medicines are available to purchase in phar</w:t>
      </w:r>
      <w:r>
        <w:rPr>
          <w:rFonts w:cs="Arial"/>
        </w:rPr>
        <w:t xml:space="preserve">macies, supermarkets and shops. </w:t>
      </w:r>
      <w:r w:rsidR="00695D85" w:rsidRPr="0077283B">
        <w:rPr>
          <w:rFonts w:cs="Arial"/>
        </w:rPr>
        <w:t>In the interest of identifying any issue</w:t>
      </w:r>
      <w:r w:rsidR="000A1D2D">
        <w:rPr>
          <w:rFonts w:cs="Arial"/>
        </w:rPr>
        <w:t>s</w:t>
      </w:r>
      <w:r w:rsidR="00695D85" w:rsidRPr="0077283B">
        <w:rPr>
          <w:rFonts w:cs="Arial"/>
        </w:rPr>
        <w:t xml:space="preserve"> or potential interactions, it is encouraged that the purchase of </w:t>
      </w:r>
      <w:r w:rsidR="008C7AA9">
        <w:rPr>
          <w:rFonts w:cs="Arial"/>
        </w:rPr>
        <w:t>OTC</w:t>
      </w:r>
      <w:r w:rsidR="00695D85" w:rsidRPr="0077283B">
        <w:rPr>
          <w:rFonts w:cs="Arial"/>
        </w:rPr>
        <w:t xml:space="preserve"> medicines should be from the same pharmacy serving the patient. Anyone purchasing medicines on behalf of a patient, including the patient themselves, should be encouraged to consult with a pharmacist to ensure the medicine is appropriate for </w:t>
      </w:r>
      <w:r w:rsidR="00197D1E" w:rsidRPr="0077283B">
        <w:rPr>
          <w:rFonts w:cs="Arial"/>
        </w:rPr>
        <w:t>the patien</w:t>
      </w:r>
      <w:r w:rsidR="00695D85" w:rsidRPr="0077283B">
        <w:rPr>
          <w:rFonts w:cs="Arial"/>
        </w:rPr>
        <w:t>t. Additionally, it is recommended that a photocopy of the M</w:t>
      </w:r>
      <w:r w:rsidR="00A80002">
        <w:rPr>
          <w:rFonts w:cs="Arial"/>
        </w:rPr>
        <w:t xml:space="preserve">edication </w:t>
      </w:r>
      <w:r w:rsidR="00695D85" w:rsidRPr="0077283B">
        <w:rPr>
          <w:rFonts w:cs="Arial"/>
        </w:rPr>
        <w:t>A</w:t>
      </w:r>
      <w:r w:rsidR="00A80002">
        <w:rPr>
          <w:rFonts w:cs="Arial"/>
        </w:rPr>
        <w:t xml:space="preserve">dministration </w:t>
      </w:r>
      <w:r w:rsidR="00695D85" w:rsidRPr="0077283B">
        <w:rPr>
          <w:rFonts w:cs="Arial"/>
        </w:rPr>
        <w:t>R</w:t>
      </w:r>
      <w:r w:rsidR="00A80002">
        <w:rPr>
          <w:rFonts w:cs="Arial"/>
        </w:rPr>
        <w:t>ecord (MAR)</w:t>
      </w:r>
      <w:r w:rsidR="00695D85" w:rsidRPr="0077283B">
        <w:rPr>
          <w:rFonts w:cs="Arial"/>
        </w:rPr>
        <w:t xml:space="preserve"> chart</w:t>
      </w:r>
      <w:r w:rsidR="008C7AA9">
        <w:rPr>
          <w:rFonts w:cs="Arial"/>
        </w:rPr>
        <w:t>, repeat prescription</w:t>
      </w:r>
      <w:r w:rsidR="00197D1E" w:rsidRPr="0077283B">
        <w:rPr>
          <w:rFonts w:cs="Arial"/>
        </w:rPr>
        <w:t xml:space="preserve"> or equivalent</w:t>
      </w:r>
      <w:r w:rsidR="00695D85" w:rsidRPr="0077283B">
        <w:rPr>
          <w:rFonts w:cs="Arial"/>
        </w:rPr>
        <w:t xml:space="preserve"> is presented to enable a safe supply.</w:t>
      </w:r>
    </w:p>
    <w:p w:rsidR="006844CF" w:rsidRDefault="006844CF" w:rsidP="006844CF">
      <w:pPr>
        <w:jc w:val="both"/>
        <w:rPr>
          <w:rFonts w:cs="Arial"/>
          <w:b/>
          <w:sz w:val="24"/>
          <w:szCs w:val="24"/>
          <w:u w:val="single"/>
        </w:rPr>
      </w:pPr>
    </w:p>
    <w:p w:rsidR="00695D85" w:rsidRPr="005E7342" w:rsidRDefault="00695D85" w:rsidP="006844CF">
      <w:pPr>
        <w:jc w:val="both"/>
        <w:rPr>
          <w:rFonts w:cs="Arial"/>
          <w:b/>
          <w:sz w:val="24"/>
          <w:szCs w:val="24"/>
          <w:u w:val="single"/>
        </w:rPr>
      </w:pPr>
      <w:r w:rsidRPr="005E7342">
        <w:rPr>
          <w:rFonts w:cs="Arial"/>
          <w:b/>
          <w:sz w:val="24"/>
          <w:szCs w:val="24"/>
          <w:u w:val="single"/>
        </w:rPr>
        <w:t xml:space="preserve">Documentation </w:t>
      </w:r>
      <w:r w:rsidR="00C3001D" w:rsidRPr="005E7342">
        <w:rPr>
          <w:rFonts w:cs="Arial"/>
          <w:b/>
          <w:sz w:val="24"/>
          <w:szCs w:val="24"/>
          <w:u w:val="single"/>
        </w:rPr>
        <w:t xml:space="preserve">and administration </w:t>
      </w:r>
      <w:r w:rsidRPr="005E7342">
        <w:rPr>
          <w:rFonts w:cs="Arial"/>
          <w:b/>
          <w:sz w:val="24"/>
          <w:szCs w:val="24"/>
          <w:u w:val="single"/>
        </w:rPr>
        <w:t xml:space="preserve">of non-prescription medication </w:t>
      </w:r>
    </w:p>
    <w:p w:rsidR="00695D85" w:rsidRPr="005E7342" w:rsidRDefault="00C3001D" w:rsidP="003D2666">
      <w:pPr>
        <w:rPr>
          <w:rFonts w:cs="Arial"/>
          <w:b/>
          <w:u w:val="single"/>
        </w:rPr>
      </w:pPr>
      <w:r w:rsidRPr="005E7342">
        <w:rPr>
          <w:rFonts w:cs="Arial"/>
          <w:b/>
          <w:u w:val="single"/>
        </w:rPr>
        <w:t>Care</w:t>
      </w:r>
      <w:r w:rsidR="000A25E1" w:rsidRPr="005E7342">
        <w:rPr>
          <w:rFonts w:cs="Arial"/>
          <w:b/>
          <w:u w:val="single"/>
        </w:rPr>
        <w:t xml:space="preserve"> </w:t>
      </w:r>
      <w:r w:rsidR="005E7342" w:rsidRPr="005E7342">
        <w:rPr>
          <w:rFonts w:cs="Arial"/>
          <w:b/>
          <w:u w:val="single"/>
        </w:rPr>
        <w:t>homes patients</w:t>
      </w:r>
    </w:p>
    <w:p w:rsidR="005E7342" w:rsidRDefault="00C3001D" w:rsidP="003D2666">
      <w:pPr>
        <w:jc w:val="both"/>
        <w:rPr>
          <w:rFonts w:cs="Arial"/>
          <w:b/>
          <w:i/>
        </w:rPr>
      </w:pPr>
      <w:r w:rsidRPr="005E7342">
        <w:rPr>
          <w:rFonts w:cs="Arial"/>
          <w:i/>
        </w:rPr>
        <w:t>MAR charts and non-prescription medicines</w:t>
      </w:r>
      <w:r w:rsidR="005E7342">
        <w:rPr>
          <w:rFonts w:cs="Arial"/>
          <w:b/>
          <w:i/>
        </w:rPr>
        <w:t xml:space="preserve">: </w:t>
      </w:r>
    </w:p>
    <w:p w:rsidR="00C3001D" w:rsidRPr="0077283B" w:rsidRDefault="00C3001D" w:rsidP="003D2666">
      <w:pPr>
        <w:jc w:val="both"/>
        <w:rPr>
          <w:rFonts w:cs="Arial"/>
          <w:b/>
          <w:i/>
        </w:rPr>
      </w:pPr>
      <w:r w:rsidRPr="0077283B">
        <w:rPr>
          <w:rFonts w:cs="Arial"/>
        </w:rPr>
        <w:t xml:space="preserve">There is a common misconception that care homes are unable to administer medicines that are not prescribed. A process must be in place for carers or residents to safely administer non-prescription medicines. </w:t>
      </w:r>
      <w:r w:rsidR="00A80002">
        <w:rPr>
          <w:rFonts w:cs="Arial"/>
        </w:rPr>
        <w:t xml:space="preserve">Some </w:t>
      </w:r>
      <w:r w:rsidRPr="0077283B">
        <w:rPr>
          <w:rFonts w:cs="Arial"/>
        </w:rPr>
        <w:t>homes</w:t>
      </w:r>
      <w:r w:rsidR="00A80002">
        <w:rPr>
          <w:rFonts w:cs="Arial"/>
        </w:rPr>
        <w:t xml:space="preserve"> will need</w:t>
      </w:r>
      <w:r w:rsidRPr="0077283B">
        <w:rPr>
          <w:rFonts w:cs="Arial"/>
        </w:rPr>
        <w:t xml:space="preserve"> to update their policies and upskill staff</w:t>
      </w:r>
      <w:r w:rsidR="00A80002">
        <w:rPr>
          <w:rFonts w:cs="Arial"/>
        </w:rPr>
        <w:t xml:space="preserve"> to enable this</w:t>
      </w:r>
      <w:r w:rsidRPr="0077283B">
        <w:rPr>
          <w:rFonts w:cs="Arial"/>
        </w:rPr>
        <w:t>. Non-prescribed medicines should be recorded in the care plan and entered on the MAR</w:t>
      </w:r>
      <w:r w:rsidR="004871C6">
        <w:rPr>
          <w:rFonts w:cs="Arial"/>
        </w:rPr>
        <w:t>, transcribing the directions as stated on the medicine box</w:t>
      </w:r>
      <w:r w:rsidRPr="0077283B">
        <w:rPr>
          <w:rFonts w:cs="Arial"/>
        </w:rPr>
        <w:t xml:space="preserve">. </w:t>
      </w:r>
      <w:r w:rsidR="008C0451">
        <w:rPr>
          <w:rFonts w:cs="Arial"/>
        </w:rPr>
        <w:t xml:space="preserve">For guidance around care home staff administering medicines to residents, see NICE Managing Medicines in Care Homes Social Care Guidelines 2014. </w:t>
      </w:r>
    </w:p>
    <w:p w:rsidR="005E7342" w:rsidRDefault="00C3001D" w:rsidP="003D2666">
      <w:pPr>
        <w:jc w:val="both"/>
        <w:rPr>
          <w:rFonts w:cs="Arial"/>
        </w:rPr>
      </w:pPr>
      <w:r w:rsidRPr="005E7342">
        <w:rPr>
          <w:rFonts w:cs="Arial"/>
          <w:i/>
        </w:rPr>
        <w:t>Administering a non-prescription medicine</w:t>
      </w:r>
      <w:r w:rsidR="005E7342">
        <w:rPr>
          <w:rFonts w:cs="Arial"/>
          <w:i/>
        </w:rPr>
        <w:t>:</w:t>
      </w:r>
      <w:r w:rsidR="00E972E7" w:rsidRPr="0077283B">
        <w:rPr>
          <w:rFonts w:cs="Arial"/>
          <w:b/>
          <w:i/>
        </w:rPr>
        <w:t xml:space="preserve"> </w:t>
      </w:r>
    </w:p>
    <w:p w:rsidR="005E7342" w:rsidRDefault="00C3001D" w:rsidP="003D2666">
      <w:pPr>
        <w:jc w:val="both"/>
        <w:rPr>
          <w:rFonts w:cs="Arial"/>
          <w:b/>
          <w:i/>
        </w:rPr>
      </w:pPr>
      <w:r w:rsidRPr="0077283B">
        <w:rPr>
          <w:rFonts w:cs="Arial"/>
        </w:rPr>
        <w:t xml:space="preserve">The OTC medicine can be administered in accordance with the MAR chart. Administration of a </w:t>
      </w:r>
      <w:r w:rsidRPr="0077283B">
        <w:rPr>
          <w:rFonts w:cs="Arial"/>
          <w:i/>
        </w:rPr>
        <w:t>homely remedy</w:t>
      </w:r>
      <w:r w:rsidRPr="0077283B">
        <w:rPr>
          <w:rFonts w:cs="Arial"/>
        </w:rPr>
        <w:t xml:space="preserve"> should not continue for more than 48 hours before consulting the GP. If administration of the purchased OTC medicine is predicted to go beyond the end of that medication cycle, the care home should inform the pharmacy of the medication requirement for that resident, so that an accurate MAR chart can be produced for the next </w:t>
      </w:r>
      <w:proofErr w:type="gramStart"/>
      <w:r w:rsidRPr="0077283B">
        <w:rPr>
          <w:rFonts w:cs="Arial"/>
        </w:rPr>
        <w:t>28 day</w:t>
      </w:r>
      <w:proofErr w:type="gramEnd"/>
      <w:r w:rsidRPr="0077283B">
        <w:rPr>
          <w:rFonts w:cs="Arial"/>
        </w:rPr>
        <w:t xml:space="preserve"> cycle.</w:t>
      </w:r>
    </w:p>
    <w:p w:rsidR="00C3001D" w:rsidRPr="005E7342" w:rsidRDefault="00C3001D" w:rsidP="003D2666">
      <w:pPr>
        <w:jc w:val="both"/>
        <w:rPr>
          <w:rFonts w:cs="Arial"/>
          <w:b/>
          <w:i/>
          <w:u w:val="single"/>
        </w:rPr>
      </w:pPr>
      <w:r w:rsidRPr="005E7342">
        <w:rPr>
          <w:rFonts w:cs="Arial"/>
          <w:b/>
          <w:u w:val="single"/>
        </w:rPr>
        <w:t>Home care</w:t>
      </w:r>
      <w:r w:rsidR="005E7342" w:rsidRPr="005E7342">
        <w:rPr>
          <w:rFonts w:cs="Arial"/>
          <w:b/>
          <w:u w:val="single"/>
        </w:rPr>
        <w:t xml:space="preserve"> patients</w:t>
      </w:r>
    </w:p>
    <w:p w:rsidR="00FE2489" w:rsidRDefault="008844F1" w:rsidP="00FE2489">
      <w:pPr>
        <w:jc w:val="both"/>
        <w:rPr>
          <w:rFonts w:cs="Arial"/>
        </w:rPr>
      </w:pPr>
      <w:r>
        <w:rPr>
          <w:rFonts w:cs="Arial"/>
        </w:rPr>
        <w:t xml:space="preserve">Home care staff who have received </w:t>
      </w:r>
      <w:r w:rsidR="00217A72">
        <w:rPr>
          <w:rFonts w:cs="Arial"/>
        </w:rPr>
        <w:t>t</w:t>
      </w:r>
      <w:r w:rsidR="00C3001D" w:rsidRPr="0077283B">
        <w:rPr>
          <w:rFonts w:cs="Arial"/>
        </w:rPr>
        <w:t xml:space="preserve">raining from </w:t>
      </w:r>
      <w:r w:rsidR="00217A72">
        <w:rPr>
          <w:rFonts w:cs="Arial"/>
        </w:rPr>
        <w:t>thei</w:t>
      </w:r>
      <w:r w:rsidR="00C3001D" w:rsidRPr="0077283B">
        <w:rPr>
          <w:rFonts w:cs="Arial"/>
        </w:rPr>
        <w:t xml:space="preserve">r employer, </w:t>
      </w:r>
      <w:r>
        <w:rPr>
          <w:rFonts w:cs="Arial"/>
        </w:rPr>
        <w:t xml:space="preserve">may be </w:t>
      </w:r>
      <w:r w:rsidR="00C3001D" w:rsidRPr="0077283B">
        <w:rPr>
          <w:rFonts w:cs="Arial"/>
        </w:rPr>
        <w:t xml:space="preserve">able to help </w:t>
      </w:r>
      <w:proofErr w:type="gramStart"/>
      <w:r>
        <w:rPr>
          <w:rFonts w:cs="Arial"/>
        </w:rPr>
        <w:t xml:space="preserve">their </w:t>
      </w:r>
      <w:r w:rsidR="00C3001D" w:rsidRPr="0077283B">
        <w:rPr>
          <w:rFonts w:cs="Arial"/>
        </w:rPr>
        <w:t xml:space="preserve"> client</w:t>
      </w:r>
      <w:r>
        <w:rPr>
          <w:rFonts w:cs="Arial"/>
        </w:rPr>
        <w:t>s</w:t>
      </w:r>
      <w:proofErr w:type="gramEnd"/>
      <w:r w:rsidR="00503B4E">
        <w:rPr>
          <w:rFonts w:cs="Arial"/>
        </w:rPr>
        <w:t>’</w:t>
      </w:r>
      <w:r w:rsidR="00C3001D" w:rsidRPr="0077283B">
        <w:rPr>
          <w:rFonts w:cs="Arial"/>
        </w:rPr>
        <w:t xml:space="preserve"> to take their medication (for example, putting in eye drops or applying creams if the</w:t>
      </w:r>
      <w:r w:rsidR="00503B4E">
        <w:rPr>
          <w:rFonts w:cs="Arial"/>
        </w:rPr>
        <w:t xml:space="preserve"> patient </w:t>
      </w:r>
      <w:r w:rsidR="00C3001D" w:rsidRPr="0077283B">
        <w:rPr>
          <w:rFonts w:cs="Arial"/>
        </w:rPr>
        <w:t>ha</w:t>
      </w:r>
      <w:r w:rsidR="00503B4E">
        <w:rPr>
          <w:rFonts w:cs="Arial"/>
        </w:rPr>
        <w:t>s</w:t>
      </w:r>
      <w:r w:rsidR="00C3001D" w:rsidRPr="0077283B">
        <w:rPr>
          <w:rFonts w:cs="Arial"/>
        </w:rPr>
        <w:t xml:space="preserve"> </w:t>
      </w:r>
      <w:r w:rsidR="00CC72FA">
        <w:rPr>
          <w:rFonts w:cs="Arial"/>
        </w:rPr>
        <w:t>had this</w:t>
      </w:r>
      <w:r w:rsidR="00CC72FA" w:rsidRPr="0077283B">
        <w:rPr>
          <w:rFonts w:cs="Arial"/>
        </w:rPr>
        <w:t xml:space="preserve"> </w:t>
      </w:r>
      <w:r w:rsidR="00C3001D" w:rsidRPr="0077283B">
        <w:rPr>
          <w:rFonts w:cs="Arial"/>
        </w:rPr>
        <w:t xml:space="preserve">recommended by the </w:t>
      </w:r>
      <w:r w:rsidR="006844CF">
        <w:rPr>
          <w:rFonts w:cs="Arial"/>
        </w:rPr>
        <w:t xml:space="preserve">healthcare </w:t>
      </w:r>
      <w:r w:rsidR="0084226B">
        <w:rPr>
          <w:rFonts w:cs="Arial"/>
        </w:rPr>
        <w:t>professional</w:t>
      </w:r>
      <w:r w:rsidR="00C3001D" w:rsidRPr="0077283B">
        <w:rPr>
          <w:rFonts w:cs="Arial"/>
        </w:rPr>
        <w:t xml:space="preserve"> in line with instructions written on the product packaging). </w:t>
      </w:r>
      <w:r>
        <w:rPr>
          <w:rFonts w:cs="Arial"/>
        </w:rPr>
        <w:t xml:space="preserve">Staff </w:t>
      </w:r>
      <w:r w:rsidR="00C3001D" w:rsidRPr="0077283B">
        <w:rPr>
          <w:rFonts w:cs="Arial"/>
        </w:rPr>
        <w:t xml:space="preserve">must abide by </w:t>
      </w:r>
      <w:r>
        <w:rPr>
          <w:rFonts w:cs="Arial"/>
        </w:rPr>
        <w:t xml:space="preserve">their </w:t>
      </w:r>
      <w:r w:rsidR="00C3001D" w:rsidRPr="0077283B">
        <w:rPr>
          <w:rFonts w:cs="Arial"/>
        </w:rPr>
        <w:t xml:space="preserve">homecare provider’s written medication policy and the correct procedures must be followed. </w:t>
      </w:r>
      <w:r>
        <w:rPr>
          <w:rFonts w:cs="Arial"/>
        </w:rPr>
        <w:t>They</w:t>
      </w:r>
      <w:r w:rsidR="00C3001D" w:rsidRPr="0077283B">
        <w:rPr>
          <w:rFonts w:cs="Arial"/>
        </w:rPr>
        <w:t xml:space="preserve"> should also make a clear record in the p</w:t>
      </w:r>
      <w:r w:rsidR="00503B4E">
        <w:rPr>
          <w:rFonts w:cs="Arial"/>
        </w:rPr>
        <w:t>atient</w:t>
      </w:r>
      <w:r w:rsidR="00C3001D" w:rsidRPr="0077283B">
        <w:rPr>
          <w:rFonts w:cs="Arial"/>
        </w:rPr>
        <w:t xml:space="preserve">’s individual care plan. Family members may also be able to help in administering medication. </w:t>
      </w:r>
      <w:r w:rsidR="00503B4E" w:rsidRPr="0077283B">
        <w:rPr>
          <w:rFonts w:cs="Arial"/>
        </w:rPr>
        <w:t>Family members/carers</w:t>
      </w:r>
      <w:r w:rsidR="00503B4E">
        <w:rPr>
          <w:rFonts w:cs="Arial"/>
        </w:rPr>
        <w:t xml:space="preserve"> </w:t>
      </w:r>
      <w:r w:rsidR="00503B4E" w:rsidRPr="0077283B">
        <w:rPr>
          <w:rFonts w:cs="Arial"/>
        </w:rPr>
        <w:t>may be able to support with medication and can help in purchasing and administration.</w:t>
      </w:r>
    </w:p>
    <w:p w:rsidR="008E4B95" w:rsidRPr="0077283B" w:rsidRDefault="008E4B95" w:rsidP="00FE2489">
      <w:pPr>
        <w:jc w:val="both"/>
        <w:rPr>
          <w:rFonts w:cs="Arial"/>
        </w:rPr>
      </w:pPr>
      <w:r w:rsidRPr="0077283B">
        <w:rPr>
          <w:rFonts w:cs="Arial"/>
        </w:rPr>
        <w:t>If home care staff see that a prescription for a medicine has been stopped and the client/family are unable to administer the medication, please contact the patient’s GP.</w:t>
      </w:r>
    </w:p>
    <w:p w:rsidR="00E34037" w:rsidRPr="00BC2E54" w:rsidRDefault="00E34037" w:rsidP="00E34037">
      <w:pPr>
        <w:rPr>
          <w:rFonts w:cs="Arial"/>
          <w:b/>
          <w:color w:val="000000" w:themeColor="text1"/>
          <w:sz w:val="24"/>
          <w:szCs w:val="24"/>
          <w:u w:val="single"/>
        </w:rPr>
      </w:pPr>
      <w:r w:rsidRPr="00BC2E54">
        <w:rPr>
          <w:rFonts w:cs="Arial"/>
          <w:b/>
          <w:color w:val="000000" w:themeColor="text1"/>
          <w:sz w:val="24"/>
          <w:szCs w:val="24"/>
          <w:u w:val="single"/>
        </w:rPr>
        <w:lastRenderedPageBreak/>
        <w:t>References</w:t>
      </w:r>
    </w:p>
    <w:p w:rsidR="00AF1D09" w:rsidRDefault="002F5040" w:rsidP="007B0569">
      <w:pPr>
        <w:tabs>
          <w:tab w:val="left" w:pos="3960"/>
        </w:tabs>
        <w:rPr>
          <w:color w:val="000000" w:themeColor="text1"/>
        </w:rPr>
      </w:pPr>
      <w:r w:rsidRPr="0084226B">
        <w:rPr>
          <w:color w:val="000000" w:themeColor="text1"/>
        </w:rPr>
        <w:t>1</w:t>
      </w:r>
      <w:r w:rsidR="00503B4E" w:rsidRPr="0084226B">
        <w:rPr>
          <w:color w:val="000000" w:themeColor="text1"/>
        </w:rPr>
        <w:t>.</w:t>
      </w:r>
      <w:r w:rsidR="00503B4E">
        <w:rPr>
          <w:b/>
        </w:rPr>
        <w:t xml:space="preserve">  </w:t>
      </w:r>
      <w:r w:rsidR="00AF1D09">
        <w:rPr>
          <w:color w:val="000000" w:themeColor="text1"/>
        </w:rPr>
        <w:t xml:space="preserve">NICE (2015) </w:t>
      </w:r>
      <w:r w:rsidR="00AF1D09" w:rsidRPr="00BA125D">
        <w:rPr>
          <w:i/>
          <w:color w:val="000000" w:themeColor="text1"/>
        </w:rPr>
        <w:t>Home care: delivering personal care and practical support to older people living in their own homes</w:t>
      </w:r>
      <w:r w:rsidR="00AF1D09">
        <w:rPr>
          <w:color w:val="000000" w:themeColor="text1"/>
        </w:rPr>
        <w:t>. Available at:</w:t>
      </w:r>
      <w:r w:rsidR="00AF1D09">
        <w:rPr>
          <w:color w:val="000000" w:themeColor="text1"/>
          <w:u w:val="single"/>
        </w:rPr>
        <w:t xml:space="preserve"> </w:t>
      </w:r>
      <w:hyperlink r:id="rId10" w:anchor="delivering-home-care" w:history="1">
        <w:r w:rsidR="00AF1D09" w:rsidRPr="00A72E5A">
          <w:rPr>
            <w:rStyle w:val="Hyperlink"/>
          </w:rPr>
          <w:t>https://www.nice.org.uk/guidance/ng21/chapter/Recommendations#delivering-home-care</w:t>
        </w:r>
      </w:hyperlink>
      <w:r w:rsidR="00AF1D09">
        <w:rPr>
          <w:color w:val="000000" w:themeColor="text1"/>
          <w:u w:val="single"/>
        </w:rPr>
        <w:t xml:space="preserve"> </w:t>
      </w:r>
      <w:r w:rsidR="00AF1D09">
        <w:rPr>
          <w:color w:val="000000" w:themeColor="text1"/>
        </w:rPr>
        <w:t xml:space="preserve">. </w:t>
      </w:r>
    </w:p>
    <w:p w:rsidR="00AF1D09" w:rsidRPr="00BA125D" w:rsidRDefault="002F5040" w:rsidP="007B0569">
      <w:pPr>
        <w:tabs>
          <w:tab w:val="left" w:pos="3960"/>
        </w:tabs>
        <w:rPr>
          <w:color w:val="000000" w:themeColor="text1"/>
        </w:rPr>
      </w:pPr>
      <w:r>
        <w:rPr>
          <w:color w:val="000000" w:themeColor="text1"/>
        </w:rPr>
        <w:t xml:space="preserve">2. </w:t>
      </w:r>
      <w:r w:rsidR="00AD3D75">
        <w:rPr>
          <w:color w:val="000000" w:themeColor="text1"/>
        </w:rPr>
        <w:t xml:space="preserve">NICE (2014) </w:t>
      </w:r>
      <w:r w:rsidR="00AD3D75">
        <w:rPr>
          <w:i/>
          <w:color w:val="000000" w:themeColor="text1"/>
        </w:rPr>
        <w:t>Managing Medicines in Care Homes</w:t>
      </w:r>
      <w:r w:rsidR="00AD3D75">
        <w:rPr>
          <w:color w:val="000000" w:themeColor="text1"/>
        </w:rPr>
        <w:t>. Available at:</w:t>
      </w:r>
      <w:r w:rsidR="00AD3D75">
        <w:rPr>
          <w:color w:val="000000" w:themeColor="text1"/>
          <w:u w:val="single"/>
        </w:rPr>
        <w:t xml:space="preserve"> </w:t>
      </w:r>
      <w:hyperlink r:id="rId11" w:history="1">
        <w:r w:rsidR="00AD3D75" w:rsidRPr="00BC23A6">
          <w:rPr>
            <w:rStyle w:val="Hyperlink"/>
          </w:rPr>
          <w:t>https://www.nice.org.uk/guidance/sc1</w:t>
        </w:r>
      </w:hyperlink>
      <w:r w:rsidR="00AD3D75">
        <w:t xml:space="preserve"> </w:t>
      </w:r>
    </w:p>
    <w:p w:rsidR="00AF1D09" w:rsidRDefault="002F5040" w:rsidP="007B0569">
      <w:pPr>
        <w:tabs>
          <w:tab w:val="left" w:pos="3960"/>
        </w:tabs>
        <w:rPr>
          <w:color w:val="000000" w:themeColor="text1"/>
          <w:u w:val="single"/>
        </w:rPr>
      </w:pPr>
      <w:r>
        <w:rPr>
          <w:color w:val="000000" w:themeColor="text1"/>
        </w:rPr>
        <w:t xml:space="preserve">3. </w:t>
      </w:r>
      <w:r w:rsidR="00AF1D09" w:rsidRPr="00BA125D">
        <w:rPr>
          <w:color w:val="000000" w:themeColor="text1"/>
        </w:rPr>
        <w:t xml:space="preserve">Royal Pharmaceutical Society of Great Britain (2007). </w:t>
      </w:r>
      <w:r w:rsidR="00AF1D09" w:rsidRPr="00BA125D">
        <w:rPr>
          <w:i/>
          <w:color w:val="000000" w:themeColor="text1"/>
        </w:rPr>
        <w:t>The handling of medicines in social care.</w:t>
      </w:r>
      <w:r w:rsidR="00AF1D09" w:rsidRPr="00BA125D">
        <w:rPr>
          <w:color w:val="000000" w:themeColor="text1"/>
        </w:rPr>
        <w:t xml:space="preserve"> Available at: </w:t>
      </w:r>
      <w:hyperlink r:id="rId12" w:history="1">
        <w:r w:rsidR="00AF1D09" w:rsidRPr="00A72E5A">
          <w:rPr>
            <w:rStyle w:val="Hyperlink"/>
          </w:rPr>
          <w:t>https://www.rpharms.com/Portals/0/RPS%20document%20library/Open%20access/Support/toolkit/handling-medicines-socialcare-guidance.pdf?ver=2016-11-17-142751-643</w:t>
        </w:r>
      </w:hyperlink>
      <w:r w:rsidR="00AF1D09">
        <w:rPr>
          <w:color w:val="000000" w:themeColor="text1"/>
          <w:u w:val="single"/>
        </w:rPr>
        <w:t xml:space="preserve"> . </w:t>
      </w:r>
    </w:p>
    <w:p w:rsidR="002F5040" w:rsidRDefault="002F5040" w:rsidP="007B0569">
      <w:pPr>
        <w:tabs>
          <w:tab w:val="left" w:pos="3960"/>
        </w:tabs>
        <w:rPr>
          <w:color w:val="000000" w:themeColor="text1"/>
          <w:u w:val="single"/>
        </w:rPr>
      </w:pPr>
      <w:r>
        <w:rPr>
          <w:color w:val="000000" w:themeColor="text1"/>
        </w:rPr>
        <w:t xml:space="preserve">4. </w:t>
      </w:r>
      <w:r w:rsidR="00AF1D09" w:rsidRPr="00BA125D">
        <w:rPr>
          <w:color w:val="000000" w:themeColor="text1"/>
        </w:rPr>
        <w:t xml:space="preserve">Yorkshire and Humber Commissioning Support (2015), </w:t>
      </w:r>
      <w:r w:rsidR="00AF1D09" w:rsidRPr="00BA125D">
        <w:rPr>
          <w:i/>
          <w:color w:val="000000" w:themeColor="text1"/>
        </w:rPr>
        <w:t>Good practice guidance: Medication administration records (MAR) in care</w:t>
      </w:r>
      <w:r w:rsidR="0084226B">
        <w:rPr>
          <w:i/>
          <w:color w:val="000000" w:themeColor="text1"/>
        </w:rPr>
        <w:t xml:space="preserve"> </w:t>
      </w:r>
      <w:r w:rsidR="00AF1D09" w:rsidRPr="00BA125D">
        <w:rPr>
          <w:i/>
          <w:color w:val="000000" w:themeColor="text1"/>
        </w:rPr>
        <w:t>homes and domiciliary care</w:t>
      </w:r>
      <w:r w:rsidR="00AF1D09" w:rsidRPr="00BA125D">
        <w:rPr>
          <w:color w:val="000000" w:themeColor="text1"/>
        </w:rPr>
        <w:t xml:space="preserve">. Available at: </w:t>
      </w:r>
      <w:hyperlink r:id="rId13" w:history="1">
        <w:r w:rsidR="00AF1D09" w:rsidRPr="00A72E5A">
          <w:rPr>
            <w:rStyle w:val="Hyperlink"/>
          </w:rPr>
          <w:t>https://www.northyorks.gov.uk/sites/default/files/fileroot/Business%20and%20economy/Tenders%20and%20procurement/Good_practice_-_medication_administration_records_in_care_settings.pdf</w:t>
        </w:r>
      </w:hyperlink>
      <w:r w:rsidR="00AF1D09">
        <w:rPr>
          <w:color w:val="000000" w:themeColor="text1"/>
          <w:u w:val="single"/>
        </w:rPr>
        <w:t xml:space="preserve"> </w:t>
      </w:r>
    </w:p>
    <w:p w:rsidR="00AF1D09" w:rsidRDefault="002F5040" w:rsidP="007B0569">
      <w:pPr>
        <w:tabs>
          <w:tab w:val="left" w:pos="3960"/>
        </w:tabs>
        <w:rPr>
          <w:color w:val="000000" w:themeColor="text1"/>
        </w:rPr>
      </w:pPr>
      <w:r>
        <w:rPr>
          <w:color w:val="000000" w:themeColor="text1"/>
          <w:u w:val="single"/>
        </w:rPr>
        <w:t>5.</w:t>
      </w:r>
      <w:r>
        <w:rPr>
          <w:color w:val="000000" w:themeColor="text1"/>
        </w:rPr>
        <w:t xml:space="preserve"> </w:t>
      </w:r>
      <w:r w:rsidR="00AF1D09">
        <w:rPr>
          <w:color w:val="000000" w:themeColor="text1"/>
        </w:rPr>
        <w:t xml:space="preserve"> </w:t>
      </w:r>
      <w:r>
        <w:rPr>
          <w:color w:val="000000" w:themeColor="text1"/>
        </w:rPr>
        <w:t>The National Archives (2005).</w:t>
      </w:r>
      <w:r w:rsidRPr="002F5040">
        <w:t xml:space="preserve"> </w:t>
      </w:r>
      <w:r w:rsidRPr="002F5040">
        <w:rPr>
          <w:i/>
          <w:color w:val="000000" w:themeColor="text1"/>
        </w:rPr>
        <w:t>Mental Capacity Act</w:t>
      </w:r>
      <w:r>
        <w:rPr>
          <w:color w:val="000000" w:themeColor="text1"/>
        </w:rPr>
        <w:t>. Available</w:t>
      </w:r>
      <w:r w:rsidR="007B0569">
        <w:rPr>
          <w:color w:val="000000" w:themeColor="text1"/>
        </w:rPr>
        <w:t xml:space="preserve"> </w:t>
      </w:r>
      <w:r w:rsidR="0084226B">
        <w:rPr>
          <w:color w:val="000000" w:themeColor="text1"/>
        </w:rPr>
        <w:t>at:</w:t>
      </w:r>
      <w:r w:rsidR="007B0569">
        <w:rPr>
          <w:color w:val="000000" w:themeColor="text1"/>
        </w:rPr>
        <w:t xml:space="preserve"> </w:t>
      </w:r>
      <w:hyperlink r:id="rId14" w:history="1">
        <w:r w:rsidRPr="00900546">
          <w:rPr>
            <w:rStyle w:val="Hyperlink"/>
          </w:rPr>
          <w:t>https://www.legislation.gov.uk/ukpga/2005/9/contents</w:t>
        </w:r>
      </w:hyperlink>
      <w:r>
        <w:rPr>
          <w:color w:val="000000" w:themeColor="text1"/>
        </w:rPr>
        <w:t xml:space="preserve"> . </w:t>
      </w:r>
    </w:p>
    <w:p w:rsidR="002F5040" w:rsidRDefault="002F5040" w:rsidP="007B0569">
      <w:pPr>
        <w:tabs>
          <w:tab w:val="left" w:pos="3960"/>
        </w:tabs>
        <w:rPr>
          <w:color w:val="000000" w:themeColor="text1"/>
        </w:rPr>
      </w:pPr>
      <w:r>
        <w:rPr>
          <w:color w:val="000000" w:themeColor="text1"/>
        </w:rPr>
        <w:t xml:space="preserve">6. The National Archives (2010). </w:t>
      </w:r>
      <w:r w:rsidRPr="002F5040">
        <w:rPr>
          <w:i/>
          <w:color w:val="000000" w:themeColor="text1"/>
        </w:rPr>
        <w:t xml:space="preserve">Equality Act </w:t>
      </w:r>
      <w:r w:rsidR="0084226B" w:rsidRPr="002F5040">
        <w:rPr>
          <w:i/>
          <w:color w:val="000000" w:themeColor="text1"/>
        </w:rPr>
        <w:t>2010</w:t>
      </w:r>
      <w:r w:rsidR="0084226B">
        <w:rPr>
          <w:color w:val="000000" w:themeColor="text1"/>
        </w:rPr>
        <w:t xml:space="preserve">. </w:t>
      </w:r>
      <w:r>
        <w:rPr>
          <w:color w:val="000000" w:themeColor="text1"/>
        </w:rPr>
        <w:t xml:space="preserve">Available at: </w:t>
      </w:r>
      <w:hyperlink r:id="rId15" w:history="1">
        <w:r w:rsidRPr="00900546">
          <w:rPr>
            <w:rStyle w:val="Hyperlink"/>
          </w:rPr>
          <w:t>https://www.legislation.gov.uk/ukpga/2010/15/section/6</w:t>
        </w:r>
      </w:hyperlink>
      <w:r>
        <w:rPr>
          <w:color w:val="000000" w:themeColor="text1"/>
        </w:rPr>
        <w:t xml:space="preserve"> . </w:t>
      </w:r>
    </w:p>
    <w:p w:rsidR="007B0569" w:rsidRPr="007B0569" w:rsidRDefault="002F5040" w:rsidP="007B0569">
      <w:pPr>
        <w:autoSpaceDE w:val="0"/>
        <w:autoSpaceDN w:val="0"/>
        <w:adjustRightInd w:val="0"/>
        <w:spacing w:after="0"/>
        <w:rPr>
          <w:rFonts w:cs="Sini-Bold"/>
          <w:bCs/>
          <w:i/>
          <w:color w:val="000000" w:themeColor="text1"/>
        </w:rPr>
      </w:pPr>
      <w:r>
        <w:rPr>
          <w:color w:val="000000" w:themeColor="text1"/>
        </w:rPr>
        <w:t xml:space="preserve">7. </w:t>
      </w:r>
      <w:r w:rsidR="007B0569">
        <w:rPr>
          <w:color w:val="000000" w:themeColor="text1"/>
        </w:rPr>
        <w:t xml:space="preserve">NHS England (2015). </w:t>
      </w:r>
      <w:r w:rsidR="007B0569">
        <w:rPr>
          <w:rFonts w:cs="Sini-Bold"/>
          <w:bCs/>
          <w:i/>
          <w:color w:val="000000" w:themeColor="text1"/>
        </w:rPr>
        <w:t>L</w:t>
      </w:r>
      <w:r w:rsidR="007B0569" w:rsidRPr="007B0569">
        <w:rPr>
          <w:rFonts w:cs="Sini-Bold"/>
          <w:bCs/>
          <w:i/>
          <w:color w:val="000000" w:themeColor="text1"/>
        </w:rPr>
        <w:t>iaison and diversion manager and practitioner resources</w:t>
      </w:r>
    </w:p>
    <w:p w:rsidR="002F5040" w:rsidRPr="00BA125D" w:rsidRDefault="007B0569" w:rsidP="007B0569">
      <w:pPr>
        <w:tabs>
          <w:tab w:val="left" w:pos="3960"/>
        </w:tabs>
        <w:rPr>
          <w:color w:val="000000" w:themeColor="text1"/>
        </w:rPr>
      </w:pPr>
      <w:r w:rsidRPr="007B0569">
        <w:rPr>
          <w:rFonts w:cs="Sini-Bold"/>
          <w:bCs/>
          <w:i/>
          <w:color w:val="000000" w:themeColor="text1"/>
        </w:rPr>
        <w:t xml:space="preserve">learning </w:t>
      </w:r>
      <w:r>
        <w:rPr>
          <w:rFonts w:cs="Sini-Bold"/>
          <w:bCs/>
          <w:i/>
          <w:color w:val="000000" w:themeColor="text1"/>
        </w:rPr>
        <w:t xml:space="preserve">disability. Available at: </w:t>
      </w:r>
      <w:hyperlink r:id="rId16" w:history="1">
        <w:r w:rsidRPr="00900546">
          <w:rPr>
            <w:rStyle w:val="Hyperlink"/>
          </w:rPr>
          <w:t>https://www.england.nhs.uk/commissioning/wp-content/uploads/sites/12/2015/10/ohc-paper-05.pdf</w:t>
        </w:r>
      </w:hyperlink>
      <w:r>
        <w:rPr>
          <w:color w:val="000000" w:themeColor="text1"/>
        </w:rPr>
        <w:t xml:space="preserve"> </w:t>
      </w:r>
    </w:p>
    <w:p w:rsidR="00CC6670" w:rsidRDefault="00CC6670"/>
    <w:p w:rsidR="00CC6670" w:rsidRDefault="00CC6670"/>
    <w:p w:rsidR="00FE2489" w:rsidRPr="00CC6670" w:rsidRDefault="00CC6670">
      <w:r w:rsidRPr="00CC6670">
        <w:t xml:space="preserve">Frequently asked </w:t>
      </w:r>
      <w:hyperlink r:id="rId17" w:anchor="how-does-the-ccg-guidance-relate-to-people-in-care-homes-that-cannot-self-care-as-they-may-lack-capacity" w:history="1">
        <w:r w:rsidRPr="00CC6670">
          <w:rPr>
            <w:rStyle w:val="Hyperlink"/>
          </w:rPr>
          <w:t>questions</w:t>
        </w:r>
      </w:hyperlink>
      <w:r w:rsidRPr="00CC6670">
        <w:t xml:space="preserve"> have been developed to support Clinical Commissioning Groups (CCGs) to implement the</w:t>
      </w:r>
      <w:r>
        <w:t xml:space="preserve"> NHS England guidance</w:t>
      </w:r>
      <w:r w:rsidRPr="00CC6670">
        <w:t> for people living in care homes.</w:t>
      </w:r>
    </w:p>
    <w:p w:rsidR="00FE2489" w:rsidRDefault="00FE2489">
      <w:pPr>
        <w:rPr>
          <w:b/>
        </w:rPr>
      </w:pPr>
    </w:p>
    <w:tbl>
      <w:tblPr>
        <w:tblStyle w:val="TableGrid"/>
        <w:tblpPr w:leftFromText="180" w:rightFromText="180" w:vertAnchor="text" w:horzAnchor="margin" w:tblpXSpec="center" w:tblpY="36"/>
        <w:tblW w:w="9747" w:type="dxa"/>
        <w:tblLayout w:type="fixed"/>
        <w:tblLook w:val="0000" w:firstRow="0" w:lastRow="0" w:firstColumn="0" w:lastColumn="0" w:noHBand="0" w:noVBand="0"/>
      </w:tblPr>
      <w:tblGrid>
        <w:gridCol w:w="1242"/>
        <w:gridCol w:w="8505"/>
      </w:tblGrid>
      <w:tr w:rsidR="00FE2489" w:rsidRPr="00E611F2" w:rsidTr="00FE2489">
        <w:trPr>
          <w:trHeight w:val="128"/>
        </w:trPr>
        <w:tc>
          <w:tcPr>
            <w:tcW w:w="1242" w:type="dxa"/>
          </w:tcPr>
          <w:p w:rsidR="00FE2489" w:rsidRPr="00E611F2" w:rsidRDefault="00FE2489" w:rsidP="007D4879">
            <w:pPr>
              <w:autoSpaceDE w:val="0"/>
              <w:autoSpaceDN w:val="0"/>
              <w:adjustRightInd w:val="0"/>
              <w:rPr>
                <w:rFonts w:ascii="Arial" w:hAnsi="Arial" w:cs="Arial"/>
                <w:b/>
                <w:bCs/>
                <w:color w:val="000000"/>
                <w:sz w:val="14"/>
                <w:szCs w:val="14"/>
              </w:rPr>
            </w:pPr>
            <w:r w:rsidRPr="00E611F2">
              <w:rPr>
                <w:rFonts w:ascii="Arial" w:hAnsi="Arial" w:cs="Arial"/>
                <w:b/>
                <w:bCs/>
                <w:color w:val="000000"/>
                <w:sz w:val="14"/>
                <w:szCs w:val="14"/>
              </w:rPr>
              <w:t>Version</w:t>
            </w:r>
          </w:p>
        </w:tc>
        <w:tc>
          <w:tcPr>
            <w:tcW w:w="8505" w:type="dxa"/>
          </w:tcPr>
          <w:p w:rsidR="00FE2489" w:rsidRPr="00E611F2" w:rsidRDefault="00CC6670" w:rsidP="007D4879">
            <w:pPr>
              <w:autoSpaceDE w:val="0"/>
              <w:autoSpaceDN w:val="0"/>
              <w:adjustRightInd w:val="0"/>
              <w:rPr>
                <w:rFonts w:ascii="Arial" w:hAnsi="Arial" w:cs="Arial"/>
                <w:color w:val="000000"/>
                <w:sz w:val="14"/>
                <w:szCs w:val="14"/>
              </w:rPr>
            </w:pPr>
            <w:r w:rsidRPr="00CC6670">
              <w:rPr>
                <w:rFonts w:ascii="Arial" w:hAnsi="Arial" w:cs="Arial"/>
                <w:sz w:val="14"/>
                <w:szCs w:val="14"/>
              </w:rPr>
              <w:t>1.2</w:t>
            </w:r>
          </w:p>
        </w:tc>
      </w:tr>
      <w:tr w:rsidR="00FE2489" w:rsidRPr="00E611F2" w:rsidTr="007D4879">
        <w:trPr>
          <w:trHeight w:val="199"/>
        </w:trPr>
        <w:tc>
          <w:tcPr>
            <w:tcW w:w="1242" w:type="dxa"/>
          </w:tcPr>
          <w:p w:rsidR="00FE2489" w:rsidRPr="00E611F2" w:rsidRDefault="00FE2489" w:rsidP="007D4879">
            <w:pPr>
              <w:autoSpaceDE w:val="0"/>
              <w:autoSpaceDN w:val="0"/>
              <w:adjustRightInd w:val="0"/>
              <w:rPr>
                <w:rFonts w:ascii="Arial" w:hAnsi="Arial" w:cs="Arial"/>
                <w:color w:val="000000"/>
                <w:sz w:val="14"/>
                <w:szCs w:val="14"/>
              </w:rPr>
            </w:pPr>
            <w:r w:rsidRPr="00E611F2">
              <w:rPr>
                <w:rFonts w:ascii="Arial" w:hAnsi="Arial" w:cs="Arial"/>
                <w:b/>
                <w:bCs/>
                <w:color w:val="000000"/>
                <w:sz w:val="14"/>
                <w:szCs w:val="14"/>
              </w:rPr>
              <w:t xml:space="preserve">Developed by </w:t>
            </w:r>
          </w:p>
        </w:tc>
        <w:tc>
          <w:tcPr>
            <w:tcW w:w="8505" w:type="dxa"/>
          </w:tcPr>
          <w:p w:rsidR="00FE2489" w:rsidRPr="00FE2489" w:rsidRDefault="00CC6670" w:rsidP="00CC6670">
            <w:pPr>
              <w:pStyle w:val="Default"/>
              <w:jc w:val="both"/>
              <w:rPr>
                <w:sz w:val="16"/>
                <w:szCs w:val="16"/>
              </w:rPr>
            </w:pPr>
            <w:r>
              <w:rPr>
                <w:sz w:val="16"/>
                <w:szCs w:val="16"/>
              </w:rPr>
              <w:t xml:space="preserve">Pharmacy and Medicines Optimisation Team East and North Herts CCG, in conjunction with HVCCG </w:t>
            </w:r>
          </w:p>
        </w:tc>
      </w:tr>
      <w:tr w:rsidR="00FE2489" w:rsidRPr="00E611F2" w:rsidTr="007D4879">
        <w:trPr>
          <w:trHeight w:val="90"/>
        </w:trPr>
        <w:tc>
          <w:tcPr>
            <w:tcW w:w="1242" w:type="dxa"/>
          </w:tcPr>
          <w:p w:rsidR="00FE2489" w:rsidRPr="00E611F2" w:rsidRDefault="00FE2489" w:rsidP="007D4879">
            <w:pPr>
              <w:autoSpaceDE w:val="0"/>
              <w:autoSpaceDN w:val="0"/>
              <w:adjustRightInd w:val="0"/>
              <w:rPr>
                <w:rFonts w:ascii="Arial" w:hAnsi="Arial" w:cs="Arial"/>
                <w:color w:val="000000"/>
                <w:sz w:val="14"/>
                <w:szCs w:val="14"/>
              </w:rPr>
            </w:pPr>
            <w:r w:rsidRPr="00E611F2">
              <w:rPr>
                <w:rFonts w:ascii="Arial" w:hAnsi="Arial" w:cs="Arial"/>
                <w:b/>
                <w:bCs/>
                <w:color w:val="000000"/>
                <w:sz w:val="14"/>
                <w:szCs w:val="14"/>
              </w:rPr>
              <w:t xml:space="preserve">Date ratified </w:t>
            </w:r>
          </w:p>
        </w:tc>
        <w:tc>
          <w:tcPr>
            <w:tcW w:w="8505" w:type="dxa"/>
          </w:tcPr>
          <w:p w:rsidR="00FE2489" w:rsidRPr="00E611F2" w:rsidRDefault="0071332E" w:rsidP="00FE2489">
            <w:pPr>
              <w:autoSpaceDE w:val="0"/>
              <w:autoSpaceDN w:val="0"/>
              <w:adjustRightInd w:val="0"/>
              <w:rPr>
                <w:rFonts w:ascii="Arial" w:hAnsi="Arial" w:cs="Arial"/>
                <w:color w:val="000000"/>
                <w:sz w:val="14"/>
                <w:szCs w:val="14"/>
              </w:rPr>
            </w:pPr>
            <w:r>
              <w:rPr>
                <w:rFonts w:ascii="Arial" w:hAnsi="Arial" w:cs="Arial"/>
                <w:color w:val="000000"/>
                <w:sz w:val="14"/>
                <w:szCs w:val="14"/>
              </w:rPr>
              <w:t>EN Herts CCG Primary Care Medicines Management Group</w:t>
            </w:r>
            <w:r w:rsidR="00CC6670">
              <w:rPr>
                <w:rFonts w:ascii="Arial" w:hAnsi="Arial" w:cs="Arial"/>
                <w:color w:val="000000"/>
                <w:sz w:val="14"/>
                <w:szCs w:val="14"/>
              </w:rPr>
              <w:t xml:space="preserve"> 13/02/19</w:t>
            </w:r>
          </w:p>
        </w:tc>
      </w:tr>
      <w:tr w:rsidR="00FE2489" w:rsidRPr="00E611F2" w:rsidTr="007D4879">
        <w:trPr>
          <w:trHeight w:val="90"/>
        </w:trPr>
        <w:tc>
          <w:tcPr>
            <w:tcW w:w="1242" w:type="dxa"/>
          </w:tcPr>
          <w:p w:rsidR="00FE2489" w:rsidRPr="00E611F2" w:rsidRDefault="00FE2489" w:rsidP="007D4879">
            <w:pPr>
              <w:autoSpaceDE w:val="0"/>
              <w:autoSpaceDN w:val="0"/>
              <w:adjustRightInd w:val="0"/>
              <w:rPr>
                <w:rFonts w:ascii="Arial" w:hAnsi="Arial" w:cs="Arial"/>
                <w:color w:val="000000"/>
                <w:sz w:val="14"/>
                <w:szCs w:val="14"/>
              </w:rPr>
            </w:pPr>
            <w:r w:rsidRPr="00E611F2">
              <w:rPr>
                <w:rFonts w:ascii="Arial" w:hAnsi="Arial" w:cs="Arial"/>
                <w:b/>
                <w:bCs/>
                <w:color w:val="000000"/>
                <w:sz w:val="14"/>
                <w:szCs w:val="14"/>
              </w:rPr>
              <w:t xml:space="preserve">Review date </w:t>
            </w:r>
          </w:p>
        </w:tc>
        <w:tc>
          <w:tcPr>
            <w:tcW w:w="8505" w:type="dxa"/>
          </w:tcPr>
          <w:p w:rsidR="00FE2489" w:rsidRPr="00E611F2" w:rsidRDefault="00CC6670" w:rsidP="007D4879">
            <w:pPr>
              <w:autoSpaceDE w:val="0"/>
              <w:autoSpaceDN w:val="0"/>
              <w:adjustRightInd w:val="0"/>
              <w:rPr>
                <w:rFonts w:ascii="Arial" w:hAnsi="Arial" w:cs="Arial"/>
                <w:color w:val="000000"/>
                <w:sz w:val="14"/>
                <w:szCs w:val="14"/>
              </w:rPr>
            </w:pPr>
            <w:r w:rsidRPr="00CC6670">
              <w:rPr>
                <w:rFonts w:ascii="Arial" w:hAnsi="Arial" w:cs="Arial"/>
                <w:sz w:val="14"/>
                <w:szCs w:val="14"/>
              </w:rPr>
              <w:t>February 2021</w:t>
            </w:r>
          </w:p>
        </w:tc>
      </w:tr>
    </w:tbl>
    <w:p w:rsidR="00FE2489" w:rsidRPr="00695D85" w:rsidRDefault="00FE2489">
      <w:pPr>
        <w:rPr>
          <w:b/>
        </w:rPr>
      </w:pPr>
    </w:p>
    <w:sectPr w:rsidR="00FE2489" w:rsidRPr="00695D8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E9E" w:rsidRDefault="00300E9E" w:rsidP="007B0569">
      <w:pPr>
        <w:spacing w:after="0" w:line="240" w:lineRule="auto"/>
      </w:pPr>
      <w:r>
        <w:separator/>
      </w:r>
    </w:p>
  </w:endnote>
  <w:endnote w:type="continuationSeparator" w:id="0">
    <w:p w:rsidR="00300E9E" w:rsidRDefault="00300E9E" w:rsidP="007B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n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190406"/>
      <w:docPartObj>
        <w:docPartGallery w:val="Page Numbers (Bottom of Page)"/>
        <w:docPartUnique/>
      </w:docPartObj>
    </w:sdtPr>
    <w:sdtEndPr>
      <w:rPr>
        <w:color w:val="808080" w:themeColor="background1" w:themeShade="80"/>
        <w:spacing w:val="60"/>
        <w:sz w:val="20"/>
      </w:rPr>
    </w:sdtEndPr>
    <w:sdtContent>
      <w:p w:rsidR="00BC2E54" w:rsidRPr="00BC2E54" w:rsidRDefault="00BC2E54">
        <w:pPr>
          <w:pStyle w:val="Footer"/>
          <w:pBdr>
            <w:top w:val="single" w:sz="4" w:space="1" w:color="D9D9D9" w:themeColor="background1" w:themeShade="D9"/>
          </w:pBdr>
          <w:jc w:val="right"/>
          <w:rPr>
            <w:sz w:val="20"/>
          </w:rPr>
        </w:pPr>
        <w:r w:rsidRPr="00BC2E54">
          <w:rPr>
            <w:sz w:val="20"/>
          </w:rPr>
          <w:fldChar w:fldCharType="begin"/>
        </w:r>
        <w:r w:rsidRPr="00BC2E54">
          <w:rPr>
            <w:sz w:val="20"/>
          </w:rPr>
          <w:instrText xml:space="preserve"> PAGE   \* MERGEFORMAT </w:instrText>
        </w:r>
        <w:r w:rsidRPr="00BC2E54">
          <w:rPr>
            <w:sz w:val="20"/>
          </w:rPr>
          <w:fldChar w:fldCharType="separate"/>
        </w:r>
        <w:r w:rsidR="001C3409">
          <w:rPr>
            <w:noProof/>
            <w:sz w:val="20"/>
          </w:rPr>
          <w:t>1</w:t>
        </w:r>
        <w:r w:rsidRPr="00BC2E54">
          <w:rPr>
            <w:noProof/>
            <w:sz w:val="20"/>
          </w:rPr>
          <w:fldChar w:fldCharType="end"/>
        </w:r>
        <w:r w:rsidRPr="00BC2E54">
          <w:rPr>
            <w:sz w:val="20"/>
          </w:rPr>
          <w:t xml:space="preserve"> | </w:t>
        </w:r>
        <w:r w:rsidRPr="00BC2E54">
          <w:rPr>
            <w:color w:val="808080" w:themeColor="background1" w:themeShade="80"/>
            <w:spacing w:val="60"/>
            <w:sz w:val="20"/>
          </w:rPr>
          <w:t>Page</w:t>
        </w:r>
      </w:p>
    </w:sdtContent>
  </w:sdt>
  <w:p w:rsidR="00BC2E54" w:rsidRDefault="00BC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E9E" w:rsidRDefault="00300E9E" w:rsidP="007B0569">
      <w:pPr>
        <w:spacing w:after="0" w:line="240" w:lineRule="auto"/>
      </w:pPr>
      <w:r>
        <w:separator/>
      </w:r>
    </w:p>
  </w:footnote>
  <w:footnote w:type="continuationSeparator" w:id="0">
    <w:p w:rsidR="00300E9E" w:rsidRDefault="00300E9E" w:rsidP="007B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E4" w:rsidRDefault="00FA02FA" w:rsidP="00591782">
    <w:pPr>
      <w:pStyle w:val="Header"/>
      <w:jc w:val="right"/>
    </w:pPr>
    <w:r>
      <w:tab/>
    </w:r>
    <w:r w:rsidR="00591782">
      <w:rPr>
        <w:noProof/>
        <w:lang w:eastAsia="en-GB"/>
      </w:rPr>
      <w:drawing>
        <wp:inline distT="0" distB="0" distL="0" distR="0" wp14:anchorId="14E440B3" wp14:editId="14E440B4">
          <wp:extent cx="2407920" cy="10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151D"/>
    <w:multiLevelType w:val="hybridMultilevel"/>
    <w:tmpl w:val="4420DF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DA18BD"/>
    <w:multiLevelType w:val="hybridMultilevel"/>
    <w:tmpl w:val="6CFA2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47D8C"/>
    <w:multiLevelType w:val="hybridMultilevel"/>
    <w:tmpl w:val="80C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A3627"/>
    <w:multiLevelType w:val="hybridMultilevel"/>
    <w:tmpl w:val="13E69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A042EF"/>
    <w:multiLevelType w:val="hybridMultilevel"/>
    <w:tmpl w:val="9B269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A245B"/>
    <w:multiLevelType w:val="hybridMultilevel"/>
    <w:tmpl w:val="9B12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A10F7"/>
    <w:multiLevelType w:val="hybridMultilevel"/>
    <w:tmpl w:val="23606FD2"/>
    <w:lvl w:ilvl="0" w:tplc="30F0D9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6777D"/>
    <w:multiLevelType w:val="hybridMultilevel"/>
    <w:tmpl w:val="0598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1E5C37"/>
    <w:multiLevelType w:val="hybridMultilevel"/>
    <w:tmpl w:val="AC56FE8C"/>
    <w:lvl w:ilvl="0" w:tplc="0809001B">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8"/>
  </w:num>
  <w:num w:numId="3">
    <w:abstractNumId w:val="6"/>
  </w:num>
  <w:num w:numId="4">
    <w:abstractNumId w:val="5"/>
  </w:num>
  <w:num w:numId="5">
    <w:abstractNumId w:val="7"/>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B9"/>
    <w:rsid w:val="000037CA"/>
    <w:rsid w:val="00007C81"/>
    <w:rsid w:val="00033CE3"/>
    <w:rsid w:val="00037B40"/>
    <w:rsid w:val="00045389"/>
    <w:rsid w:val="00064B63"/>
    <w:rsid w:val="000A1D2D"/>
    <w:rsid w:val="000A25E1"/>
    <w:rsid w:val="000C14D5"/>
    <w:rsid w:val="001158A6"/>
    <w:rsid w:val="0013549B"/>
    <w:rsid w:val="00136E83"/>
    <w:rsid w:val="00197D1E"/>
    <w:rsid w:val="001C2583"/>
    <w:rsid w:val="001C3409"/>
    <w:rsid w:val="001D0E09"/>
    <w:rsid w:val="001D5398"/>
    <w:rsid w:val="001F58AE"/>
    <w:rsid w:val="00217A72"/>
    <w:rsid w:val="00291E04"/>
    <w:rsid w:val="002B5FE1"/>
    <w:rsid w:val="002C5C0C"/>
    <w:rsid w:val="002D4B81"/>
    <w:rsid w:val="002F5040"/>
    <w:rsid w:val="00300B09"/>
    <w:rsid w:val="00300E9E"/>
    <w:rsid w:val="00314426"/>
    <w:rsid w:val="003216A2"/>
    <w:rsid w:val="0038714D"/>
    <w:rsid w:val="003A7256"/>
    <w:rsid w:val="003D2666"/>
    <w:rsid w:val="00402B70"/>
    <w:rsid w:val="00415819"/>
    <w:rsid w:val="00416E88"/>
    <w:rsid w:val="00442BEE"/>
    <w:rsid w:val="00462355"/>
    <w:rsid w:val="00481354"/>
    <w:rsid w:val="004871C6"/>
    <w:rsid w:val="004A7F11"/>
    <w:rsid w:val="004B1635"/>
    <w:rsid w:val="00503B4E"/>
    <w:rsid w:val="0051615C"/>
    <w:rsid w:val="005233FC"/>
    <w:rsid w:val="0055445C"/>
    <w:rsid w:val="00591782"/>
    <w:rsid w:val="005C3210"/>
    <w:rsid w:val="005D2D27"/>
    <w:rsid w:val="005E7342"/>
    <w:rsid w:val="00604781"/>
    <w:rsid w:val="006353FA"/>
    <w:rsid w:val="006844CF"/>
    <w:rsid w:val="00685639"/>
    <w:rsid w:val="00695D85"/>
    <w:rsid w:val="006C0E55"/>
    <w:rsid w:val="006D0D38"/>
    <w:rsid w:val="006F6059"/>
    <w:rsid w:val="0071332E"/>
    <w:rsid w:val="00722271"/>
    <w:rsid w:val="0077283B"/>
    <w:rsid w:val="007A472A"/>
    <w:rsid w:val="007B0569"/>
    <w:rsid w:val="007E048F"/>
    <w:rsid w:val="007F5D79"/>
    <w:rsid w:val="0084226B"/>
    <w:rsid w:val="008844F1"/>
    <w:rsid w:val="008C0451"/>
    <w:rsid w:val="008C7AA9"/>
    <w:rsid w:val="008D3889"/>
    <w:rsid w:val="008E4B95"/>
    <w:rsid w:val="008F08B6"/>
    <w:rsid w:val="00951B16"/>
    <w:rsid w:val="009A004F"/>
    <w:rsid w:val="009A5D2B"/>
    <w:rsid w:val="009C3AC6"/>
    <w:rsid w:val="009C7F9F"/>
    <w:rsid w:val="009D7E10"/>
    <w:rsid w:val="00A25557"/>
    <w:rsid w:val="00A379DB"/>
    <w:rsid w:val="00A64236"/>
    <w:rsid w:val="00A73C5C"/>
    <w:rsid w:val="00A745E5"/>
    <w:rsid w:val="00A80002"/>
    <w:rsid w:val="00AD3D75"/>
    <w:rsid w:val="00AF1D09"/>
    <w:rsid w:val="00AF3720"/>
    <w:rsid w:val="00AF649B"/>
    <w:rsid w:val="00B0653F"/>
    <w:rsid w:val="00B66472"/>
    <w:rsid w:val="00BA4994"/>
    <w:rsid w:val="00BC2E54"/>
    <w:rsid w:val="00BC6B2C"/>
    <w:rsid w:val="00C24EC8"/>
    <w:rsid w:val="00C3001D"/>
    <w:rsid w:val="00C3223C"/>
    <w:rsid w:val="00C80C4E"/>
    <w:rsid w:val="00CA46F0"/>
    <w:rsid w:val="00CC6670"/>
    <w:rsid w:val="00CC72FA"/>
    <w:rsid w:val="00D2406A"/>
    <w:rsid w:val="00D3251C"/>
    <w:rsid w:val="00D405E4"/>
    <w:rsid w:val="00D947B9"/>
    <w:rsid w:val="00DA2385"/>
    <w:rsid w:val="00DA61A2"/>
    <w:rsid w:val="00DE2CC1"/>
    <w:rsid w:val="00DF095F"/>
    <w:rsid w:val="00E10E3B"/>
    <w:rsid w:val="00E14EC2"/>
    <w:rsid w:val="00E15050"/>
    <w:rsid w:val="00E2319F"/>
    <w:rsid w:val="00E34037"/>
    <w:rsid w:val="00E55679"/>
    <w:rsid w:val="00E7099E"/>
    <w:rsid w:val="00E71996"/>
    <w:rsid w:val="00E75F6A"/>
    <w:rsid w:val="00E972E7"/>
    <w:rsid w:val="00F5781C"/>
    <w:rsid w:val="00F605DD"/>
    <w:rsid w:val="00FA003F"/>
    <w:rsid w:val="00FA02FA"/>
    <w:rsid w:val="00FA2DE6"/>
    <w:rsid w:val="00FE2489"/>
    <w:rsid w:val="00FE7DD8"/>
    <w:rsid w:val="00FF6691"/>
    <w:rsid w:val="00FF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3A959-C870-428E-B259-9E565FD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7B9"/>
    <w:rPr>
      <w:sz w:val="16"/>
      <w:szCs w:val="16"/>
    </w:rPr>
  </w:style>
  <w:style w:type="paragraph" w:styleId="CommentText">
    <w:name w:val="annotation text"/>
    <w:basedOn w:val="Normal"/>
    <w:link w:val="CommentTextChar"/>
    <w:uiPriority w:val="99"/>
    <w:semiHidden/>
    <w:unhideWhenUsed/>
    <w:rsid w:val="00D947B9"/>
    <w:pPr>
      <w:spacing w:line="240" w:lineRule="auto"/>
    </w:pPr>
    <w:rPr>
      <w:sz w:val="20"/>
      <w:szCs w:val="20"/>
    </w:rPr>
  </w:style>
  <w:style w:type="character" w:customStyle="1" w:styleId="CommentTextChar">
    <w:name w:val="Comment Text Char"/>
    <w:basedOn w:val="DefaultParagraphFont"/>
    <w:link w:val="CommentText"/>
    <w:uiPriority w:val="99"/>
    <w:semiHidden/>
    <w:rsid w:val="00D947B9"/>
    <w:rPr>
      <w:sz w:val="20"/>
      <w:szCs w:val="20"/>
    </w:rPr>
  </w:style>
  <w:style w:type="paragraph" w:styleId="BalloonText">
    <w:name w:val="Balloon Text"/>
    <w:basedOn w:val="Normal"/>
    <w:link w:val="BalloonTextChar"/>
    <w:uiPriority w:val="99"/>
    <w:semiHidden/>
    <w:unhideWhenUsed/>
    <w:rsid w:val="00D9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B9"/>
    <w:rPr>
      <w:rFonts w:ascii="Tahoma" w:hAnsi="Tahoma" w:cs="Tahoma"/>
      <w:sz w:val="16"/>
      <w:szCs w:val="16"/>
    </w:rPr>
  </w:style>
  <w:style w:type="paragraph" w:styleId="ListParagraph">
    <w:name w:val="List Paragraph"/>
    <w:basedOn w:val="Normal"/>
    <w:uiPriority w:val="34"/>
    <w:qFormat/>
    <w:rsid w:val="00D947B9"/>
    <w:pPr>
      <w:ind w:left="720"/>
      <w:contextualSpacing/>
    </w:pPr>
  </w:style>
  <w:style w:type="table" w:styleId="TableGrid">
    <w:name w:val="Table Grid"/>
    <w:basedOn w:val="TableNormal"/>
    <w:uiPriority w:val="59"/>
    <w:rsid w:val="002C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C0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4B81"/>
    <w:rPr>
      <w:b/>
      <w:bCs/>
    </w:rPr>
  </w:style>
  <w:style w:type="character" w:customStyle="1" w:styleId="CommentSubjectChar">
    <w:name w:val="Comment Subject Char"/>
    <w:basedOn w:val="CommentTextChar"/>
    <w:link w:val="CommentSubject"/>
    <w:uiPriority w:val="99"/>
    <w:semiHidden/>
    <w:rsid w:val="002D4B81"/>
    <w:rPr>
      <w:b/>
      <w:bCs/>
      <w:sz w:val="20"/>
      <w:szCs w:val="20"/>
    </w:rPr>
  </w:style>
  <w:style w:type="character" w:styleId="FollowedHyperlink">
    <w:name w:val="FollowedHyperlink"/>
    <w:basedOn w:val="DefaultParagraphFont"/>
    <w:uiPriority w:val="99"/>
    <w:semiHidden/>
    <w:unhideWhenUsed/>
    <w:rsid w:val="005233FC"/>
    <w:rPr>
      <w:color w:val="800080" w:themeColor="followedHyperlink"/>
      <w:u w:val="single"/>
    </w:rPr>
  </w:style>
  <w:style w:type="paragraph" w:styleId="Header">
    <w:name w:val="header"/>
    <w:basedOn w:val="Normal"/>
    <w:link w:val="HeaderChar"/>
    <w:uiPriority w:val="99"/>
    <w:unhideWhenUsed/>
    <w:rsid w:val="007B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69"/>
  </w:style>
  <w:style w:type="paragraph" w:styleId="Footer">
    <w:name w:val="footer"/>
    <w:basedOn w:val="Normal"/>
    <w:link w:val="FooterChar"/>
    <w:uiPriority w:val="99"/>
    <w:unhideWhenUsed/>
    <w:rsid w:val="007B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69"/>
  </w:style>
  <w:style w:type="paragraph" w:customStyle="1" w:styleId="Default">
    <w:name w:val="Default"/>
    <w:rsid w:val="00FE248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35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49B"/>
    <w:rPr>
      <w:sz w:val="20"/>
      <w:szCs w:val="20"/>
    </w:rPr>
  </w:style>
  <w:style w:type="character" w:styleId="FootnoteReference">
    <w:name w:val="footnote reference"/>
    <w:basedOn w:val="DefaultParagraphFont"/>
    <w:uiPriority w:val="99"/>
    <w:semiHidden/>
    <w:unhideWhenUsed/>
    <w:rsid w:val="00135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hertsccg.nhs.uk/over-counter-medicines" TargetMode="External"/><Relationship Id="rId13" Type="http://schemas.openxmlformats.org/officeDocument/2006/relationships/hyperlink" Target="https://www.northyorks.gov.uk/sites/default/files/fileroot/Business%20and%20economy/Tenders%20and%20procurement/Good_practice_-_medication_administration_records_in_care_setting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pharms.com/Portals/0/RPS%20document%20library/Open%20access/Support/toolkit/handling-medicines-socialcare-guidance.pdf?ver=2016-11-17-142751-643" TargetMode="External"/><Relationship Id="rId17" Type="http://schemas.openxmlformats.org/officeDocument/2006/relationships/hyperlink" Target="https://www.england.nhs.uk/medicines/conditions-for-which-over-the-counter-items-should-not-routinely-be-prescribed/conditions-for-which-over-the-counter-items-should-not-routinely-be-prescribed-in-primary-care-implementation-resources/faqs/" TargetMode="External"/><Relationship Id="rId2" Type="http://schemas.openxmlformats.org/officeDocument/2006/relationships/numbering" Target="numbering.xml"/><Relationship Id="rId16" Type="http://schemas.openxmlformats.org/officeDocument/2006/relationships/hyperlink" Target="https://www.england.nhs.uk/commissioning/wp-content/uploads/sites/12/2015/10/ohc-paper-0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sc1" TargetMode="External"/><Relationship Id="rId5" Type="http://schemas.openxmlformats.org/officeDocument/2006/relationships/webSettings" Target="webSettings.xml"/><Relationship Id="rId15" Type="http://schemas.openxmlformats.org/officeDocument/2006/relationships/hyperlink" Target="https://www.legislation.gov.uk/ukpga/2010/15/section/6" TargetMode="External"/><Relationship Id="rId10" Type="http://schemas.openxmlformats.org/officeDocument/2006/relationships/hyperlink" Target="https://www.nice.org.uk/guidance/ng21/chapter/Recommend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hertsccg.nhs.uk/care-homes" TargetMode="External"/><Relationship Id="rId14" Type="http://schemas.openxmlformats.org/officeDocument/2006/relationships/hyperlink" Target="https://www.legislation.gov.uk/ukpga/2005/9/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2475-0536-44BF-A03F-08CD0F72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Tailor</dc:creator>
  <cp:lastModifiedBy>Jenna</cp:lastModifiedBy>
  <cp:revision>2</cp:revision>
  <cp:lastPrinted>2018-07-11T11:43:00Z</cp:lastPrinted>
  <dcterms:created xsi:type="dcterms:W3CDTF">2019-05-29T14:39:00Z</dcterms:created>
  <dcterms:modified xsi:type="dcterms:W3CDTF">2019-05-29T14:39:00Z</dcterms:modified>
</cp:coreProperties>
</file>