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491A0" w14:textId="08B9187E" w:rsidR="003F49C5" w:rsidRDefault="007564F6" w:rsidP="0042410C">
      <w:pPr>
        <w:pStyle w:val="Title"/>
        <w:spacing w:before="240" w:after="240"/>
      </w:pPr>
      <w:r w:rsidRPr="00135C10">
        <w:rPr>
          <w:noProof/>
        </w:rPr>
        <w:drawing>
          <wp:anchor distT="0" distB="0" distL="114300" distR="114300" simplePos="0" relativeHeight="251658240" behindDoc="0" locked="0" layoutInCell="1" allowOverlap="1" wp14:anchorId="033E5B76" wp14:editId="0A476642">
            <wp:simplePos x="0" y="0"/>
            <wp:positionH relativeFrom="column">
              <wp:posOffset>8405495</wp:posOffset>
            </wp:positionH>
            <wp:positionV relativeFrom="paragraph">
              <wp:posOffset>170815</wp:posOffset>
            </wp:positionV>
            <wp:extent cx="1310005" cy="79057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_hcp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0005" cy="790575"/>
                    </a:xfrm>
                    <a:prstGeom prst="rect">
                      <a:avLst/>
                    </a:prstGeom>
                  </pic:spPr>
                </pic:pic>
              </a:graphicData>
            </a:graphic>
            <wp14:sizeRelH relativeFrom="page">
              <wp14:pctWidth>0</wp14:pctWidth>
            </wp14:sizeRelH>
            <wp14:sizeRelV relativeFrom="page">
              <wp14:pctHeight>0</wp14:pctHeight>
            </wp14:sizeRelV>
          </wp:anchor>
        </w:drawing>
      </w:r>
      <w:r w:rsidR="00E9214D" w:rsidRPr="00135C10">
        <w:rPr>
          <w:noProof/>
        </w:rPr>
        <w:t>Check List and Action Plan</w:t>
      </w:r>
      <w:r w:rsidR="00452B8A" w:rsidRPr="00135C10">
        <w:t xml:space="preserve"> </w:t>
      </w:r>
      <w:r w:rsidRPr="00135C10">
        <w:t xml:space="preserve">for Adult Social Care Providers </w:t>
      </w:r>
    </w:p>
    <w:p w14:paraId="6B81AC56" w14:textId="1B301E98" w:rsidR="00127B39" w:rsidRPr="003F49C5" w:rsidRDefault="007564F6" w:rsidP="0042410C">
      <w:pPr>
        <w:pStyle w:val="Title"/>
        <w:spacing w:before="240" w:after="240"/>
        <w:rPr>
          <w:sz w:val="44"/>
          <w:szCs w:val="44"/>
        </w:rPr>
      </w:pPr>
      <w:r w:rsidRPr="003F49C5">
        <w:rPr>
          <w:sz w:val="44"/>
          <w:szCs w:val="44"/>
        </w:rPr>
        <w:t>Prepar</w:t>
      </w:r>
      <w:r w:rsidR="000213C9" w:rsidRPr="003F49C5">
        <w:rPr>
          <w:sz w:val="44"/>
          <w:szCs w:val="44"/>
        </w:rPr>
        <w:t>ing</w:t>
      </w:r>
      <w:r w:rsidRPr="003F49C5">
        <w:rPr>
          <w:sz w:val="44"/>
          <w:szCs w:val="44"/>
        </w:rPr>
        <w:t xml:space="preserve"> for </w:t>
      </w:r>
      <w:r w:rsidR="003F49C5" w:rsidRPr="003F49C5">
        <w:rPr>
          <w:sz w:val="44"/>
          <w:szCs w:val="44"/>
        </w:rPr>
        <w:t xml:space="preserve">the end of the Brexit Transition </w:t>
      </w:r>
      <w:r w:rsidR="003F49C5">
        <w:rPr>
          <w:sz w:val="44"/>
          <w:szCs w:val="44"/>
        </w:rPr>
        <w:t>P</w:t>
      </w:r>
      <w:r w:rsidR="003F49C5" w:rsidRPr="003F49C5">
        <w:rPr>
          <w:sz w:val="44"/>
          <w:szCs w:val="44"/>
        </w:rPr>
        <w:t>eriod on 31</w:t>
      </w:r>
      <w:r w:rsidR="003F49C5" w:rsidRPr="003F49C5">
        <w:rPr>
          <w:sz w:val="44"/>
          <w:szCs w:val="44"/>
          <w:vertAlign w:val="superscript"/>
        </w:rPr>
        <w:t>st</w:t>
      </w:r>
      <w:r w:rsidR="003F49C5" w:rsidRPr="003F49C5">
        <w:rPr>
          <w:sz w:val="44"/>
          <w:szCs w:val="44"/>
        </w:rPr>
        <w:t xml:space="preserve"> December 2020</w:t>
      </w:r>
    </w:p>
    <w:p w14:paraId="68BD4A03" w14:textId="56FBF13E" w:rsidR="0042410C" w:rsidRDefault="0042410C" w:rsidP="0042410C">
      <w:pPr>
        <w:spacing w:before="240" w:after="240"/>
        <w:rPr>
          <w:sz w:val="24"/>
        </w:rPr>
      </w:pPr>
    </w:p>
    <w:p w14:paraId="40CD4F26" w14:textId="74389BF9" w:rsidR="002614A8" w:rsidRPr="00135C10" w:rsidRDefault="002614A8" w:rsidP="0042410C">
      <w:pPr>
        <w:spacing w:before="240" w:after="240"/>
        <w:rPr>
          <w:sz w:val="24"/>
        </w:rPr>
      </w:pPr>
      <w:r w:rsidRPr="00135C10">
        <w:rPr>
          <w:sz w:val="24"/>
        </w:rPr>
        <w:t xml:space="preserve">These are actions you should take before and after </w:t>
      </w:r>
      <w:r w:rsidR="003F49C5" w:rsidRPr="003F49C5">
        <w:rPr>
          <w:sz w:val="24"/>
        </w:rPr>
        <w:t xml:space="preserve">the end of the Brexit Transition </w:t>
      </w:r>
      <w:r w:rsidR="003F49C5">
        <w:rPr>
          <w:sz w:val="24"/>
        </w:rPr>
        <w:t>P</w:t>
      </w:r>
      <w:r w:rsidR="003F49C5" w:rsidRPr="003F49C5">
        <w:rPr>
          <w:sz w:val="24"/>
        </w:rPr>
        <w:t>eriod</w:t>
      </w:r>
      <w:r w:rsidRPr="00135C10">
        <w:rPr>
          <w:sz w:val="24"/>
        </w:rPr>
        <w:t xml:space="preserve">, to plan for and help manage any potential service disruption to adult social care </w:t>
      </w:r>
      <w:r w:rsidR="003F49C5">
        <w:rPr>
          <w:sz w:val="24"/>
        </w:rPr>
        <w:t>after the transition period has ended.</w:t>
      </w:r>
      <w:r w:rsidRPr="00135C10">
        <w:rPr>
          <w:sz w:val="24"/>
        </w:rPr>
        <w:t xml:space="preserve"> </w:t>
      </w:r>
      <w:r w:rsidR="0042410C" w:rsidRPr="00135C10">
        <w:rPr>
          <w:sz w:val="24"/>
        </w:rPr>
        <w:t>Use this check list to ensure you are prepared.</w:t>
      </w:r>
    </w:p>
    <w:tbl>
      <w:tblPr>
        <w:tblStyle w:val="TableGrid"/>
        <w:tblW w:w="15588" w:type="dxa"/>
        <w:tblLook w:val="04A0" w:firstRow="1" w:lastRow="0" w:firstColumn="1" w:lastColumn="0" w:noHBand="0" w:noVBand="1"/>
      </w:tblPr>
      <w:tblGrid>
        <w:gridCol w:w="1977"/>
        <w:gridCol w:w="3232"/>
        <w:gridCol w:w="5718"/>
        <w:gridCol w:w="1050"/>
        <w:gridCol w:w="3611"/>
      </w:tblGrid>
      <w:tr w:rsidR="005467CB" w:rsidRPr="00135C10" w14:paraId="2594EDF1" w14:textId="77777777" w:rsidTr="003D1599">
        <w:trPr>
          <w:trHeight w:val="558"/>
        </w:trPr>
        <w:tc>
          <w:tcPr>
            <w:tcW w:w="1977" w:type="dxa"/>
            <w:vAlign w:val="center"/>
          </w:tcPr>
          <w:p w14:paraId="1F623A86" w14:textId="77777777" w:rsidR="005467CB" w:rsidRPr="00135C10" w:rsidRDefault="005467CB" w:rsidP="00135C10">
            <w:pPr>
              <w:pStyle w:val="Heading1"/>
              <w:spacing w:before="0"/>
              <w:outlineLvl w:val="0"/>
            </w:pPr>
            <w:bookmarkStart w:id="0" w:name="_Hlk20825852"/>
          </w:p>
        </w:tc>
        <w:tc>
          <w:tcPr>
            <w:tcW w:w="3232" w:type="dxa"/>
            <w:vAlign w:val="center"/>
          </w:tcPr>
          <w:p w14:paraId="166BF8BB" w14:textId="77777777" w:rsidR="005467CB" w:rsidRPr="00135C10" w:rsidRDefault="005467CB" w:rsidP="00135C10">
            <w:pPr>
              <w:pStyle w:val="Heading1"/>
              <w:spacing w:before="0"/>
              <w:outlineLvl w:val="0"/>
            </w:pPr>
            <w:r w:rsidRPr="00135C10">
              <w:t>Context</w:t>
            </w:r>
          </w:p>
        </w:tc>
        <w:tc>
          <w:tcPr>
            <w:tcW w:w="5718" w:type="dxa"/>
            <w:vAlign w:val="center"/>
          </w:tcPr>
          <w:p w14:paraId="4731CD70" w14:textId="77777777" w:rsidR="005467CB" w:rsidRPr="00135C10" w:rsidRDefault="005467CB" w:rsidP="00135C10">
            <w:pPr>
              <w:pStyle w:val="Heading1"/>
              <w:spacing w:before="0"/>
              <w:outlineLvl w:val="0"/>
            </w:pPr>
            <w:r w:rsidRPr="00135C10">
              <w:t>Action</w:t>
            </w:r>
          </w:p>
        </w:tc>
        <w:tc>
          <w:tcPr>
            <w:tcW w:w="1050" w:type="dxa"/>
            <w:vAlign w:val="center"/>
          </w:tcPr>
          <w:p w14:paraId="5CA321AB" w14:textId="77777777" w:rsidR="005467CB" w:rsidRPr="00135C10" w:rsidRDefault="005467CB" w:rsidP="00135C10">
            <w:pPr>
              <w:pStyle w:val="Heading1"/>
              <w:spacing w:before="0"/>
              <w:jc w:val="center"/>
              <w:outlineLvl w:val="0"/>
            </w:pPr>
            <w:r w:rsidRPr="00135C10">
              <w:t>Done?</w:t>
            </w:r>
          </w:p>
          <w:p w14:paraId="794F911B" w14:textId="77777777" w:rsidR="005467CB" w:rsidRPr="00135C10" w:rsidRDefault="005467CB" w:rsidP="00135C10">
            <w:pPr>
              <w:pStyle w:val="Heading1"/>
              <w:spacing w:before="0"/>
              <w:jc w:val="center"/>
              <w:outlineLvl w:val="0"/>
            </w:pPr>
            <w:r w:rsidRPr="00135C10">
              <w:sym w:font="Wingdings" w:char="F0FE"/>
            </w:r>
          </w:p>
        </w:tc>
        <w:tc>
          <w:tcPr>
            <w:tcW w:w="3611" w:type="dxa"/>
            <w:vAlign w:val="center"/>
          </w:tcPr>
          <w:p w14:paraId="7C7EBFE7" w14:textId="77777777" w:rsidR="005467CB" w:rsidRPr="00135C10" w:rsidRDefault="005467CB" w:rsidP="00135C10">
            <w:pPr>
              <w:pStyle w:val="Heading1"/>
              <w:spacing w:before="0"/>
              <w:outlineLvl w:val="0"/>
            </w:pPr>
            <w:r w:rsidRPr="00135C10">
              <w:t>Your Remedial Activity</w:t>
            </w:r>
          </w:p>
        </w:tc>
      </w:tr>
      <w:bookmarkEnd w:id="0"/>
      <w:tr w:rsidR="005467CB" w:rsidRPr="00135C10" w14:paraId="650A6FA3" w14:textId="77777777" w:rsidTr="003D1599">
        <w:tc>
          <w:tcPr>
            <w:tcW w:w="1977" w:type="dxa"/>
            <w:vMerge w:val="restart"/>
          </w:tcPr>
          <w:p w14:paraId="5D78F51D" w14:textId="77777777" w:rsidR="005467CB" w:rsidRPr="00135C10" w:rsidRDefault="005467CB" w:rsidP="0042410C">
            <w:pPr>
              <w:pStyle w:val="Heading2"/>
              <w:spacing w:before="240" w:after="240"/>
              <w:outlineLvl w:val="1"/>
              <w:rPr>
                <w:sz w:val="32"/>
                <w:szCs w:val="32"/>
              </w:rPr>
            </w:pPr>
            <w:r w:rsidRPr="00135C10">
              <w:rPr>
                <w:sz w:val="32"/>
                <w:szCs w:val="32"/>
              </w:rPr>
              <w:t>Stay Up to Date</w:t>
            </w:r>
          </w:p>
        </w:tc>
        <w:tc>
          <w:tcPr>
            <w:tcW w:w="3232" w:type="dxa"/>
            <w:vMerge w:val="restart"/>
          </w:tcPr>
          <w:p w14:paraId="1D8C8057" w14:textId="77777777" w:rsidR="003F49C5" w:rsidRDefault="003F49C5" w:rsidP="0042410C">
            <w:pPr>
              <w:spacing w:before="240" w:after="240"/>
              <w:rPr>
                <w:b/>
              </w:rPr>
            </w:pPr>
            <w:r w:rsidRPr="003F49C5">
              <w:rPr>
                <w:b/>
              </w:rPr>
              <w:t>The UK left the European Union on 31 January. The transition will end on 31 December 2020.</w:t>
            </w:r>
          </w:p>
          <w:p w14:paraId="04604D14" w14:textId="05DFBCF9" w:rsidR="005467CB" w:rsidRPr="00135C10" w:rsidRDefault="003F49C5" w:rsidP="0042410C">
            <w:pPr>
              <w:spacing w:before="240" w:after="240"/>
              <w:rPr>
                <w:b/>
              </w:rPr>
            </w:pPr>
            <w:r w:rsidRPr="003F49C5">
              <w:rPr>
                <w:b/>
              </w:rPr>
              <w:t>There are new rules for businesses and citizens from 1 January 2021.</w:t>
            </w:r>
            <w:r w:rsidR="005467CB" w:rsidRPr="00135C10">
              <w:rPr>
                <w:b/>
              </w:rPr>
              <w:t xml:space="preserve"> </w:t>
            </w:r>
          </w:p>
        </w:tc>
        <w:tc>
          <w:tcPr>
            <w:tcW w:w="5718" w:type="dxa"/>
          </w:tcPr>
          <w:p w14:paraId="7D79AF2F" w14:textId="34786742" w:rsidR="005467CB" w:rsidRPr="00135C10" w:rsidRDefault="005467CB" w:rsidP="003F49C5">
            <w:r w:rsidRPr="00135C10">
              <w:t xml:space="preserve">Regularly check this page </w:t>
            </w:r>
            <w:hyperlink r:id="rId8" w:history="1">
              <w:r w:rsidR="003F49C5" w:rsidRPr="003F49C5">
                <w:rPr>
                  <w:rStyle w:val="Hyperlink"/>
                </w:rPr>
                <w:t>https://www.gov.uk/transition</w:t>
              </w:r>
            </w:hyperlink>
            <w:r w:rsidR="003F49C5">
              <w:t xml:space="preserve"> </w:t>
            </w:r>
            <w:r w:rsidRPr="00135C10">
              <w:t>to ens</w:t>
            </w:r>
            <w:r w:rsidR="0042410C" w:rsidRPr="00135C10">
              <w:softHyphen/>
            </w:r>
            <w:r w:rsidRPr="00135C10">
              <w:t>ure you are up to date with your responsibilities.</w:t>
            </w:r>
            <w:r w:rsidR="003F49C5">
              <w:t xml:space="preserve"> The process will ask you a few questions before you reach “</w:t>
            </w:r>
            <w:r w:rsidR="003F49C5" w:rsidRPr="003F49C5">
              <w:t>About your business</w:t>
            </w:r>
            <w:r w:rsidR="003F49C5">
              <w:t xml:space="preserve"> - </w:t>
            </w:r>
            <w:r w:rsidR="003F49C5" w:rsidRPr="003F49C5">
              <w:t>Do you own or help to run a business or organisation?</w:t>
            </w:r>
            <w:r w:rsidR="00C66BD1">
              <w:t>”</w:t>
            </w:r>
          </w:p>
        </w:tc>
        <w:tc>
          <w:tcPr>
            <w:tcW w:w="1050" w:type="dxa"/>
          </w:tcPr>
          <w:p w14:paraId="4042A3BF" w14:textId="77777777" w:rsidR="005467CB" w:rsidRPr="00135C10" w:rsidRDefault="005467CB" w:rsidP="0042410C">
            <w:pPr>
              <w:spacing w:before="240" w:after="240"/>
            </w:pPr>
          </w:p>
        </w:tc>
        <w:tc>
          <w:tcPr>
            <w:tcW w:w="3611" w:type="dxa"/>
          </w:tcPr>
          <w:p w14:paraId="5790B206" w14:textId="77777777" w:rsidR="005467CB" w:rsidRPr="00135C10" w:rsidRDefault="005467CB" w:rsidP="0042410C">
            <w:pPr>
              <w:spacing w:before="240" w:after="240"/>
            </w:pPr>
          </w:p>
        </w:tc>
      </w:tr>
      <w:tr w:rsidR="005467CB" w:rsidRPr="00135C10" w14:paraId="1FA8BE65" w14:textId="77777777" w:rsidTr="003D1599">
        <w:tc>
          <w:tcPr>
            <w:tcW w:w="1977" w:type="dxa"/>
            <w:vMerge/>
          </w:tcPr>
          <w:p w14:paraId="5C69A9CA" w14:textId="77777777" w:rsidR="005467CB" w:rsidRPr="00135C10" w:rsidRDefault="005467CB" w:rsidP="0042410C">
            <w:pPr>
              <w:pStyle w:val="Heading2"/>
              <w:spacing w:before="240" w:after="240"/>
              <w:outlineLvl w:val="1"/>
              <w:rPr>
                <w:sz w:val="32"/>
                <w:szCs w:val="32"/>
              </w:rPr>
            </w:pPr>
          </w:p>
        </w:tc>
        <w:tc>
          <w:tcPr>
            <w:tcW w:w="3232" w:type="dxa"/>
            <w:vMerge/>
          </w:tcPr>
          <w:p w14:paraId="5CA38199" w14:textId="77777777" w:rsidR="005467CB" w:rsidRPr="00135C10" w:rsidRDefault="005467CB" w:rsidP="0042410C">
            <w:pPr>
              <w:spacing w:before="240" w:after="240"/>
            </w:pPr>
          </w:p>
        </w:tc>
        <w:tc>
          <w:tcPr>
            <w:tcW w:w="5718" w:type="dxa"/>
          </w:tcPr>
          <w:p w14:paraId="07AFB4E9" w14:textId="0F738427" w:rsidR="005467CB" w:rsidRPr="00135C10" w:rsidRDefault="00045F48" w:rsidP="0042410C">
            <w:pPr>
              <w:spacing w:before="240" w:after="240"/>
            </w:pPr>
            <w:hyperlink r:id="rId9" w:history="1">
              <w:r w:rsidR="005467CB" w:rsidRPr="00135C10">
                <w:rPr>
                  <w:rStyle w:val="Hyperlink"/>
                </w:rPr>
                <w:t>Sign up for email updates </w:t>
              </w:r>
            </w:hyperlink>
            <w:r w:rsidR="00092D84" w:rsidRPr="00092D84">
              <w:t xml:space="preserve">from Gov.UK </w:t>
            </w:r>
            <w:r w:rsidR="005467CB" w:rsidRPr="00135C10">
              <w:t>to get the latest information.</w:t>
            </w:r>
          </w:p>
        </w:tc>
        <w:tc>
          <w:tcPr>
            <w:tcW w:w="1050" w:type="dxa"/>
          </w:tcPr>
          <w:p w14:paraId="7ABBF874" w14:textId="77777777" w:rsidR="005467CB" w:rsidRPr="00135C10" w:rsidRDefault="005467CB" w:rsidP="0042410C">
            <w:pPr>
              <w:spacing w:before="240" w:after="240"/>
            </w:pPr>
          </w:p>
        </w:tc>
        <w:tc>
          <w:tcPr>
            <w:tcW w:w="3611" w:type="dxa"/>
          </w:tcPr>
          <w:p w14:paraId="1837619F" w14:textId="77777777" w:rsidR="005467CB" w:rsidRPr="00135C10" w:rsidRDefault="005467CB" w:rsidP="0042410C">
            <w:pPr>
              <w:spacing w:before="240" w:after="240"/>
            </w:pPr>
          </w:p>
        </w:tc>
      </w:tr>
      <w:tr w:rsidR="005467CB" w:rsidRPr="00135C10" w14:paraId="721E3627" w14:textId="77777777" w:rsidTr="003D1599">
        <w:tc>
          <w:tcPr>
            <w:tcW w:w="1977" w:type="dxa"/>
            <w:vMerge/>
          </w:tcPr>
          <w:p w14:paraId="279CF3EC" w14:textId="77777777" w:rsidR="005467CB" w:rsidRPr="00135C10" w:rsidRDefault="005467CB" w:rsidP="0042410C">
            <w:pPr>
              <w:pStyle w:val="Heading2"/>
              <w:spacing w:before="240" w:after="240"/>
              <w:outlineLvl w:val="1"/>
              <w:rPr>
                <w:sz w:val="32"/>
                <w:szCs w:val="32"/>
              </w:rPr>
            </w:pPr>
          </w:p>
        </w:tc>
        <w:tc>
          <w:tcPr>
            <w:tcW w:w="3232" w:type="dxa"/>
            <w:vMerge/>
          </w:tcPr>
          <w:p w14:paraId="4B46664C" w14:textId="77777777" w:rsidR="005467CB" w:rsidRPr="00135C10" w:rsidRDefault="005467CB" w:rsidP="0042410C">
            <w:pPr>
              <w:spacing w:before="240" w:after="240"/>
            </w:pPr>
          </w:p>
        </w:tc>
        <w:tc>
          <w:tcPr>
            <w:tcW w:w="5718" w:type="dxa"/>
          </w:tcPr>
          <w:p w14:paraId="66CF48F9" w14:textId="77777777" w:rsidR="005467CB" w:rsidRPr="00135C10" w:rsidRDefault="005467CB" w:rsidP="0042410C">
            <w:pPr>
              <w:spacing w:before="240" w:after="240"/>
            </w:pPr>
            <w:r w:rsidRPr="00135C10">
              <w:t xml:space="preserve">HCPA will update you on any key information from the Government or Hertfordshire County Council. Please ensure these emails are read and are not directed to your junk email folder. You can subscribe to </w:t>
            </w:r>
            <w:r w:rsidR="000213C9" w:rsidRPr="00135C10">
              <w:t>these emails</w:t>
            </w:r>
            <w:r w:rsidRPr="00135C10">
              <w:t xml:space="preserve"> by </w:t>
            </w:r>
            <w:r w:rsidR="0042410C" w:rsidRPr="00135C10">
              <w:t xml:space="preserve">clicking </w:t>
            </w:r>
            <w:hyperlink r:id="rId10" w:history="1">
              <w:r w:rsidR="0042410C" w:rsidRPr="00135C10">
                <w:rPr>
                  <w:rStyle w:val="Hyperlink"/>
                </w:rPr>
                <w:t>here</w:t>
              </w:r>
            </w:hyperlink>
            <w:r w:rsidR="0042410C" w:rsidRPr="00135C10">
              <w:t xml:space="preserve">.  </w:t>
            </w:r>
          </w:p>
        </w:tc>
        <w:tc>
          <w:tcPr>
            <w:tcW w:w="1050" w:type="dxa"/>
          </w:tcPr>
          <w:p w14:paraId="392F70B8" w14:textId="77777777" w:rsidR="005467CB" w:rsidRPr="00135C10" w:rsidRDefault="005467CB" w:rsidP="0042410C">
            <w:pPr>
              <w:spacing w:before="240" w:after="240"/>
            </w:pPr>
          </w:p>
        </w:tc>
        <w:tc>
          <w:tcPr>
            <w:tcW w:w="3611" w:type="dxa"/>
          </w:tcPr>
          <w:p w14:paraId="6C040AC6" w14:textId="77777777" w:rsidR="005467CB" w:rsidRPr="00135C10" w:rsidRDefault="005467CB" w:rsidP="0042410C">
            <w:pPr>
              <w:spacing w:before="240" w:after="240"/>
            </w:pPr>
          </w:p>
        </w:tc>
      </w:tr>
    </w:tbl>
    <w:p w14:paraId="0C10697C" w14:textId="77777777" w:rsidR="003D1599" w:rsidRPr="00135C10" w:rsidRDefault="003D1599" w:rsidP="0042410C">
      <w:pPr>
        <w:spacing w:before="240"/>
      </w:pPr>
      <w:r w:rsidRPr="00135C10">
        <w:br w:type="page"/>
      </w:r>
    </w:p>
    <w:tbl>
      <w:tblPr>
        <w:tblStyle w:val="TableGrid"/>
        <w:tblW w:w="15588" w:type="dxa"/>
        <w:tblLook w:val="04A0" w:firstRow="1" w:lastRow="0" w:firstColumn="1" w:lastColumn="0" w:noHBand="0" w:noVBand="1"/>
      </w:tblPr>
      <w:tblGrid>
        <w:gridCol w:w="1977"/>
        <w:gridCol w:w="3232"/>
        <w:gridCol w:w="5718"/>
        <w:gridCol w:w="1050"/>
        <w:gridCol w:w="3611"/>
      </w:tblGrid>
      <w:tr w:rsidR="003D1599" w:rsidRPr="00135C10" w14:paraId="6C1F7451" w14:textId="77777777" w:rsidTr="00615C53">
        <w:trPr>
          <w:trHeight w:val="558"/>
        </w:trPr>
        <w:tc>
          <w:tcPr>
            <w:tcW w:w="1977" w:type="dxa"/>
            <w:vAlign w:val="center"/>
          </w:tcPr>
          <w:p w14:paraId="6CAB8280" w14:textId="77777777" w:rsidR="003D1599" w:rsidRPr="00135C10" w:rsidRDefault="003D1599" w:rsidP="00135C10">
            <w:pPr>
              <w:pStyle w:val="Heading1"/>
              <w:spacing w:before="0"/>
              <w:outlineLvl w:val="0"/>
            </w:pPr>
          </w:p>
        </w:tc>
        <w:tc>
          <w:tcPr>
            <w:tcW w:w="3232" w:type="dxa"/>
            <w:vAlign w:val="center"/>
          </w:tcPr>
          <w:p w14:paraId="0ABA5B25" w14:textId="77777777" w:rsidR="003D1599" w:rsidRPr="00135C10" w:rsidRDefault="003D1599" w:rsidP="00135C10">
            <w:pPr>
              <w:pStyle w:val="Heading1"/>
              <w:spacing w:before="0"/>
              <w:outlineLvl w:val="0"/>
            </w:pPr>
            <w:r w:rsidRPr="00135C10">
              <w:t>Context</w:t>
            </w:r>
          </w:p>
        </w:tc>
        <w:tc>
          <w:tcPr>
            <w:tcW w:w="5718" w:type="dxa"/>
            <w:vAlign w:val="center"/>
          </w:tcPr>
          <w:p w14:paraId="2A474A9F" w14:textId="77777777" w:rsidR="003D1599" w:rsidRPr="00135C10" w:rsidRDefault="003D1599" w:rsidP="00135C10">
            <w:pPr>
              <w:pStyle w:val="Heading1"/>
              <w:spacing w:before="0"/>
              <w:outlineLvl w:val="0"/>
            </w:pPr>
            <w:r w:rsidRPr="00135C10">
              <w:t>Action</w:t>
            </w:r>
          </w:p>
        </w:tc>
        <w:tc>
          <w:tcPr>
            <w:tcW w:w="1050" w:type="dxa"/>
            <w:vAlign w:val="center"/>
          </w:tcPr>
          <w:p w14:paraId="0C0687BD" w14:textId="77777777" w:rsidR="003D1599" w:rsidRPr="00135C10" w:rsidRDefault="003D1599" w:rsidP="00135C10">
            <w:pPr>
              <w:pStyle w:val="Heading1"/>
              <w:spacing w:before="0"/>
              <w:jc w:val="center"/>
              <w:outlineLvl w:val="0"/>
            </w:pPr>
            <w:r w:rsidRPr="00135C10">
              <w:t>Done?</w:t>
            </w:r>
          </w:p>
          <w:p w14:paraId="71920632" w14:textId="77777777" w:rsidR="003D1599" w:rsidRPr="00135C10" w:rsidRDefault="003D1599" w:rsidP="00135C10">
            <w:pPr>
              <w:pStyle w:val="Heading1"/>
              <w:spacing w:before="0"/>
              <w:jc w:val="center"/>
              <w:outlineLvl w:val="0"/>
            </w:pPr>
            <w:r w:rsidRPr="00135C10">
              <w:sym w:font="Wingdings" w:char="F0FE"/>
            </w:r>
          </w:p>
        </w:tc>
        <w:tc>
          <w:tcPr>
            <w:tcW w:w="3611" w:type="dxa"/>
            <w:vAlign w:val="center"/>
          </w:tcPr>
          <w:p w14:paraId="0A049046" w14:textId="77777777" w:rsidR="003D1599" w:rsidRPr="00135C10" w:rsidRDefault="003D1599" w:rsidP="00135C10">
            <w:pPr>
              <w:pStyle w:val="Heading1"/>
              <w:spacing w:before="0"/>
              <w:outlineLvl w:val="0"/>
            </w:pPr>
            <w:r w:rsidRPr="00135C10">
              <w:t>Your Remedial Activity</w:t>
            </w:r>
          </w:p>
        </w:tc>
      </w:tr>
      <w:tr w:rsidR="005467CB" w:rsidRPr="00135C10" w14:paraId="73CEB3B0" w14:textId="77777777" w:rsidTr="003D1599">
        <w:tc>
          <w:tcPr>
            <w:tcW w:w="1977" w:type="dxa"/>
            <w:vMerge w:val="restart"/>
          </w:tcPr>
          <w:p w14:paraId="0DBE2BAF" w14:textId="77777777" w:rsidR="005467CB" w:rsidRPr="00135C10" w:rsidRDefault="005467CB" w:rsidP="0042410C">
            <w:pPr>
              <w:pStyle w:val="Heading2"/>
              <w:spacing w:before="240" w:after="240"/>
              <w:outlineLvl w:val="1"/>
              <w:rPr>
                <w:sz w:val="32"/>
                <w:szCs w:val="32"/>
              </w:rPr>
            </w:pPr>
            <w:r w:rsidRPr="00135C10">
              <w:rPr>
                <w:sz w:val="32"/>
                <w:szCs w:val="32"/>
              </w:rPr>
              <w:t>The Supply of Medicines, Medical Devices and Clinical Consumables</w:t>
            </w:r>
          </w:p>
        </w:tc>
        <w:tc>
          <w:tcPr>
            <w:tcW w:w="3232" w:type="dxa"/>
            <w:vMerge w:val="restart"/>
          </w:tcPr>
          <w:p w14:paraId="539E8D8C" w14:textId="25F08BC0" w:rsidR="005467CB" w:rsidRPr="00135C10" w:rsidRDefault="005467CB" w:rsidP="0042410C">
            <w:pPr>
              <w:spacing w:before="240" w:after="240"/>
              <w:rPr>
                <w:b/>
              </w:rPr>
            </w:pPr>
            <w:r w:rsidRPr="00135C10">
              <w:rPr>
                <w:b/>
              </w:rPr>
              <w:t xml:space="preserve">The government is working directly with suppliers and pharmaceutical companies to make sure there is a continued supply of medicines, medical </w:t>
            </w:r>
            <w:proofErr w:type="gramStart"/>
            <w:r w:rsidRPr="00135C10">
              <w:rPr>
                <w:b/>
              </w:rPr>
              <w:t>devices</w:t>
            </w:r>
            <w:proofErr w:type="gramEnd"/>
            <w:r w:rsidRPr="00135C10">
              <w:rPr>
                <w:b/>
              </w:rPr>
              <w:t xml:space="preserve"> and clinical consumables when the </w:t>
            </w:r>
            <w:r w:rsidR="007F7BE7">
              <w:rPr>
                <w:b/>
              </w:rPr>
              <w:t>transition period ends.</w:t>
            </w:r>
          </w:p>
        </w:tc>
        <w:tc>
          <w:tcPr>
            <w:tcW w:w="5718" w:type="dxa"/>
          </w:tcPr>
          <w:p w14:paraId="04A91DD0" w14:textId="77777777" w:rsidR="005467CB" w:rsidRPr="00135C10" w:rsidRDefault="005467CB" w:rsidP="0042410C">
            <w:pPr>
              <w:spacing w:before="240" w:after="240"/>
            </w:pPr>
            <w:r w:rsidRPr="00135C10">
              <w:t xml:space="preserve">You should not stockpile any medicines, medical </w:t>
            </w:r>
            <w:proofErr w:type="gramStart"/>
            <w:r w:rsidRPr="00135C10">
              <w:t>devices</w:t>
            </w:r>
            <w:proofErr w:type="gramEnd"/>
            <w:r w:rsidRPr="00135C10">
              <w:t xml:space="preserve"> or clinical consumables.</w:t>
            </w:r>
          </w:p>
        </w:tc>
        <w:tc>
          <w:tcPr>
            <w:tcW w:w="1050" w:type="dxa"/>
          </w:tcPr>
          <w:p w14:paraId="66E961E4" w14:textId="77777777" w:rsidR="005467CB" w:rsidRPr="00135C10" w:rsidRDefault="005467CB" w:rsidP="0042410C">
            <w:pPr>
              <w:spacing w:before="240" w:after="240"/>
            </w:pPr>
          </w:p>
        </w:tc>
        <w:tc>
          <w:tcPr>
            <w:tcW w:w="3611" w:type="dxa"/>
          </w:tcPr>
          <w:p w14:paraId="225D63E9" w14:textId="77777777" w:rsidR="005467CB" w:rsidRPr="00135C10" w:rsidRDefault="005467CB" w:rsidP="0042410C">
            <w:pPr>
              <w:spacing w:before="240" w:after="240"/>
            </w:pPr>
          </w:p>
        </w:tc>
      </w:tr>
      <w:tr w:rsidR="005467CB" w:rsidRPr="00135C10" w14:paraId="3797B608" w14:textId="77777777" w:rsidTr="003D1599">
        <w:tc>
          <w:tcPr>
            <w:tcW w:w="1977" w:type="dxa"/>
            <w:vMerge/>
          </w:tcPr>
          <w:p w14:paraId="5BD0632B" w14:textId="77777777" w:rsidR="005467CB" w:rsidRPr="00135C10" w:rsidRDefault="005467CB" w:rsidP="0042410C">
            <w:pPr>
              <w:pStyle w:val="Heading2"/>
              <w:spacing w:before="240" w:after="240"/>
              <w:outlineLvl w:val="1"/>
              <w:rPr>
                <w:sz w:val="32"/>
                <w:szCs w:val="32"/>
              </w:rPr>
            </w:pPr>
          </w:p>
        </w:tc>
        <w:tc>
          <w:tcPr>
            <w:tcW w:w="3232" w:type="dxa"/>
            <w:vMerge/>
          </w:tcPr>
          <w:p w14:paraId="647948C1" w14:textId="77777777" w:rsidR="005467CB" w:rsidRPr="00135C10" w:rsidRDefault="005467CB" w:rsidP="0042410C">
            <w:pPr>
              <w:spacing w:before="240" w:after="240"/>
              <w:rPr>
                <w:b/>
              </w:rPr>
            </w:pPr>
          </w:p>
        </w:tc>
        <w:tc>
          <w:tcPr>
            <w:tcW w:w="5718" w:type="dxa"/>
          </w:tcPr>
          <w:p w14:paraId="1BE8EFAE" w14:textId="77777777" w:rsidR="005467CB" w:rsidRPr="00135C10" w:rsidRDefault="005467CB" w:rsidP="0042410C">
            <w:pPr>
              <w:spacing w:before="240" w:after="240"/>
            </w:pPr>
            <w:r w:rsidRPr="00135C10">
              <w:t>You should also tell service users not to store additional medicines, medical devices or clinical consumables at home.</w:t>
            </w:r>
          </w:p>
        </w:tc>
        <w:tc>
          <w:tcPr>
            <w:tcW w:w="1050" w:type="dxa"/>
          </w:tcPr>
          <w:p w14:paraId="523F9856" w14:textId="77777777" w:rsidR="005467CB" w:rsidRPr="00135C10" w:rsidRDefault="005467CB" w:rsidP="0042410C">
            <w:pPr>
              <w:spacing w:before="240" w:after="240"/>
            </w:pPr>
          </w:p>
        </w:tc>
        <w:tc>
          <w:tcPr>
            <w:tcW w:w="3611" w:type="dxa"/>
          </w:tcPr>
          <w:p w14:paraId="6CC408EF" w14:textId="77777777" w:rsidR="005467CB" w:rsidRPr="00135C10" w:rsidRDefault="005467CB" w:rsidP="0042410C">
            <w:pPr>
              <w:spacing w:before="240" w:after="240"/>
            </w:pPr>
          </w:p>
        </w:tc>
      </w:tr>
      <w:tr w:rsidR="005467CB" w:rsidRPr="00135C10" w14:paraId="100B708D" w14:textId="77777777" w:rsidTr="003D1599">
        <w:tc>
          <w:tcPr>
            <w:tcW w:w="1977" w:type="dxa"/>
            <w:vMerge/>
          </w:tcPr>
          <w:p w14:paraId="522F1876" w14:textId="77777777" w:rsidR="005467CB" w:rsidRPr="00135C10" w:rsidRDefault="005467CB" w:rsidP="0042410C">
            <w:pPr>
              <w:pStyle w:val="Heading2"/>
              <w:spacing w:before="240" w:after="240"/>
              <w:outlineLvl w:val="1"/>
              <w:rPr>
                <w:sz w:val="32"/>
                <w:szCs w:val="32"/>
              </w:rPr>
            </w:pPr>
          </w:p>
        </w:tc>
        <w:tc>
          <w:tcPr>
            <w:tcW w:w="3232" w:type="dxa"/>
            <w:vMerge/>
          </w:tcPr>
          <w:p w14:paraId="73CA529C" w14:textId="77777777" w:rsidR="005467CB" w:rsidRPr="00135C10" w:rsidRDefault="005467CB" w:rsidP="0042410C">
            <w:pPr>
              <w:spacing w:before="240" w:after="240"/>
              <w:rPr>
                <w:b/>
              </w:rPr>
            </w:pPr>
          </w:p>
        </w:tc>
        <w:tc>
          <w:tcPr>
            <w:tcW w:w="5718" w:type="dxa"/>
          </w:tcPr>
          <w:p w14:paraId="33D03285" w14:textId="77777777" w:rsidR="005467CB" w:rsidRPr="00135C10" w:rsidRDefault="005467CB" w:rsidP="0042410C">
            <w:pPr>
              <w:spacing w:before="240" w:after="240"/>
            </w:pPr>
            <w:r w:rsidRPr="00135C10">
              <w:t>If your organisation currently relies on receiving products from the EU with short lead times of 24 to 48 hours</w:t>
            </w:r>
            <w:r w:rsidRPr="00135C10">
              <w:rPr>
                <w:b/>
              </w:rPr>
              <w:t>, plan for longer lead times of up to 5 days</w:t>
            </w:r>
            <w:r w:rsidR="00F92F69">
              <w:rPr>
                <w:b/>
              </w:rPr>
              <w:t>.</w:t>
            </w:r>
          </w:p>
        </w:tc>
        <w:tc>
          <w:tcPr>
            <w:tcW w:w="1050" w:type="dxa"/>
          </w:tcPr>
          <w:p w14:paraId="552ED7EE" w14:textId="77777777" w:rsidR="005467CB" w:rsidRPr="00135C10" w:rsidRDefault="005467CB" w:rsidP="0042410C">
            <w:pPr>
              <w:spacing w:before="240" w:after="240"/>
            </w:pPr>
          </w:p>
        </w:tc>
        <w:tc>
          <w:tcPr>
            <w:tcW w:w="3611" w:type="dxa"/>
          </w:tcPr>
          <w:p w14:paraId="011EA779" w14:textId="77777777" w:rsidR="005467CB" w:rsidRPr="00135C10" w:rsidRDefault="005467CB" w:rsidP="0042410C">
            <w:pPr>
              <w:spacing w:before="240" w:after="240"/>
            </w:pPr>
          </w:p>
        </w:tc>
      </w:tr>
      <w:tr w:rsidR="005467CB" w:rsidRPr="00135C10" w14:paraId="4F3E1549" w14:textId="77777777" w:rsidTr="003D1599">
        <w:tc>
          <w:tcPr>
            <w:tcW w:w="1977" w:type="dxa"/>
            <w:vMerge/>
          </w:tcPr>
          <w:p w14:paraId="21E98F6B" w14:textId="77777777" w:rsidR="005467CB" w:rsidRPr="00135C10" w:rsidRDefault="005467CB" w:rsidP="0042410C">
            <w:pPr>
              <w:pStyle w:val="Heading2"/>
              <w:spacing w:before="240" w:after="240"/>
              <w:outlineLvl w:val="1"/>
              <w:rPr>
                <w:sz w:val="32"/>
                <w:szCs w:val="32"/>
              </w:rPr>
            </w:pPr>
          </w:p>
        </w:tc>
        <w:tc>
          <w:tcPr>
            <w:tcW w:w="3232" w:type="dxa"/>
            <w:vMerge/>
          </w:tcPr>
          <w:p w14:paraId="182FB1B6" w14:textId="77777777" w:rsidR="005467CB" w:rsidRPr="00135C10" w:rsidRDefault="005467CB" w:rsidP="0042410C">
            <w:pPr>
              <w:spacing w:before="240" w:after="240"/>
              <w:rPr>
                <w:b/>
              </w:rPr>
            </w:pPr>
          </w:p>
        </w:tc>
        <w:tc>
          <w:tcPr>
            <w:tcW w:w="5718" w:type="dxa"/>
          </w:tcPr>
          <w:p w14:paraId="78C146ED" w14:textId="77777777" w:rsidR="005467CB" w:rsidRPr="00135C10" w:rsidRDefault="005467CB" w:rsidP="0042410C">
            <w:pPr>
              <w:spacing w:before="240" w:after="240"/>
            </w:pPr>
            <w:r w:rsidRPr="00135C10">
              <w:t>Make sure you are prepared to receive stock deliveries outside normal hours</w:t>
            </w:r>
            <w:r w:rsidR="00F92F69">
              <w:t>.</w:t>
            </w:r>
          </w:p>
        </w:tc>
        <w:tc>
          <w:tcPr>
            <w:tcW w:w="1050" w:type="dxa"/>
          </w:tcPr>
          <w:p w14:paraId="29CAF64F" w14:textId="77777777" w:rsidR="005467CB" w:rsidRPr="00135C10" w:rsidRDefault="005467CB" w:rsidP="0042410C">
            <w:pPr>
              <w:spacing w:before="240" w:after="240"/>
            </w:pPr>
          </w:p>
        </w:tc>
        <w:tc>
          <w:tcPr>
            <w:tcW w:w="3611" w:type="dxa"/>
          </w:tcPr>
          <w:p w14:paraId="6A580ED6" w14:textId="77777777" w:rsidR="005467CB" w:rsidRPr="00135C10" w:rsidRDefault="005467CB" w:rsidP="0042410C">
            <w:pPr>
              <w:spacing w:before="240" w:after="240"/>
            </w:pPr>
          </w:p>
        </w:tc>
      </w:tr>
      <w:tr w:rsidR="005467CB" w:rsidRPr="00135C10" w14:paraId="24921AF6" w14:textId="77777777" w:rsidTr="003D1599">
        <w:trPr>
          <w:trHeight w:val="2219"/>
        </w:trPr>
        <w:tc>
          <w:tcPr>
            <w:tcW w:w="1977" w:type="dxa"/>
          </w:tcPr>
          <w:p w14:paraId="1BC380CA" w14:textId="77777777" w:rsidR="005467CB" w:rsidRPr="00135C10" w:rsidRDefault="005467CB" w:rsidP="0042410C">
            <w:pPr>
              <w:pStyle w:val="Heading2"/>
              <w:spacing w:before="240" w:after="240"/>
              <w:outlineLvl w:val="1"/>
              <w:rPr>
                <w:sz w:val="32"/>
                <w:szCs w:val="32"/>
              </w:rPr>
            </w:pPr>
            <w:r w:rsidRPr="00135C10">
              <w:rPr>
                <w:sz w:val="32"/>
                <w:szCs w:val="32"/>
              </w:rPr>
              <w:t>Supply of non-clinical consumables, goods and services</w:t>
            </w:r>
          </w:p>
        </w:tc>
        <w:tc>
          <w:tcPr>
            <w:tcW w:w="3232" w:type="dxa"/>
          </w:tcPr>
          <w:p w14:paraId="3630951C" w14:textId="77777777" w:rsidR="005467CB" w:rsidRPr="00135C10" w:rsidRDefault="005467CB" w:rsidP="0042410C">
            <w:pPr>
              <w:spacing w:before="240" w:after="240"/>
              <w:rPr>
                <w:b/>
              </w:rPr>
            </w:pPr>
            <w:r w:rsidRPr="00135C10">
              <w:rPr>
                <w:b/>
              </w:rPr>
              <w:t>These may include: -</w:t>
            </w:r>
          </w:p>
          <w:p w14:paraId="00D510D8" w14:textId="77777777" w:rsidR="005467CB" w:rsidRPr="00135C10" w:rsidRDefault="005467CB" w:rsidP="00B820BA">
            <w:pPr>
              <w:pStyle w:val="ListParagraph"/>
              <w:numPr>
                <w:ilvl w:val="0"/>
                <w:numId w:val="1"/>
              </w:numPr>
              <w:spacing w:before="240" w:after="240"/>
              <w:ind w:left="468"/>
              <w:rPr>
                <w:b/>
              </w:rPr>
            </w:pPr>
            <w:r w:rsidRPr="00135C10">
              <w:rPr>
                <w:b/>
              </w:rPr>
              <w:t>IT service agreements and infrastructure</w:t>
            </w:r>
          </w:p>
          <w:p w14:paraId="08F3CE64" w14:textId="77777777" w:rsidR="005467CB" w:rsidRPr="00135C10" w:rsidRDefault="005467CB" w:rsidP="00B820BA">
            <w:pPr>
              <w:pStyle w:val="ListParagraph"/>
              <w:numPr>
                <w:ilvl w:val="0"/>
                <w:numId w:val="1"/>
              </w:numPr>
              <w:spacing w:before="240" w:after="240"/>
              <w:ind w:left="468"/>
              <w:rPr>
                <w:b/>
              </w:rPr>
            </w:pPr>
            <w:r w:rsidRPr="00135C10">
              <w:rPr>
                <w:b/>
              </w:rPr>
              <w:t>Waste management</w:t>
            </w:r>
          </w:p>
          <w:p w14:paraId="0C419458" w14:textId="77777777" w:rsidR="005467CB" w:rsidRPr="00135C10" w:rsidRDefault="005467CB" w:rsidP="00B820BA">
            <w:pPr>
              <w:pStyle w:val="ListParagraph"/>
              <w:numPr>
                <w:ilvl w:val="0"/>
                <w:numId w:val="1"/>
              </w:numPr>
              <w:spacing w:before="240" w:after="240"/>
              <w:ind w:left="468"/>
              <w:rPr>
                <w:b/>
              </w:rPr>
            </w:pPr>
            <w:r w:rsidRPr="00135C10">
              <w:rPr>
                <w:b/>
              </w:rPr>
              <w:t>Facilities management</w:t>
            </w:r>
          </w:p>
          <w:p w14:paraId="4AE4B3EB" w14:textId="77777777" w:rsidR="005467CB" w:rsidRPr="00135C10" w:rsidRDefault="005467CB" w:rsidP="00B820BA">
            <w:pPr>
              <w:pStyle w:val="ListParagraph"/>
              <w:numPr>
                <w:ilvl w:val="0"/>
                <w:numId w:val="1"/>
              </w:numPr>
              <w:spacing w:before="240" w:after="240"/>
              <w:ind w:left="468"/>
              <w:rPr>
                <w:b/>
              </w:rPr>
            </w:pPr>
            <w:r w:rsidRPr="00135C10">
              <w:rPr>
                <w:b/>
              </w:rPr>
              <w:t>Service maintenance contracts</w:t>
            </w:r>
          </w:p>
          <w:p w14:paraId="42D72C8E" w14:textId="77777777" w:rsidR="005467CB" w:rsidRPr="00135C10" w:rsidRDefault="005467CB" w:rsidP="00B820BA">
            <w:pPr>
              <w:pStyle w:val="ListParagraph"/>
              <w:numPr>
                <w:ilvl w:val="0"/>
                <w:numId w:val="1"/>
              </w:numPr>
              <w:spacing w:before="240" w:after="240"/>
              <w:ind w:left="468"/>
              <w:rPr>
                <w:b/>
              </w:rPr>
            </w:pPr>
            <w:r w:rsidRPr="00135C10">
              <w:rPr>
                <w:b/>
              </w:rPr>
              <w:t>Laundry services</w:t>
            </w:r>
          </w:p>
          <w:p w14:paraId="53D50E37" w14:textId="77777777" w:rsidR="005467CB" w:rsidRPr="00135C10" w:rsidRDefault="005467CB" w:rsidP="00B820BA">
            <w:pPr>
              <w:pStyle w:val="ListParagraph"/>
              <w:numPr>
                <w:ilvl w:val="0"/>
                <w:numId w:val="1"/>
              </w:numPr>
              <w:spacing w:before="240" w:after="240"/>
              <w:ind w:left="468"/>
              <w:rPr>
                <w:b/>
              </w:rPr>
            </w:pPr>
            <w:r w:rsidRPr="00135C10">
              <w:rPr>
                <w:b/>
              </w:rPr>
              <w:t>Food and catering</w:t>
            </w:r>
          </w:p>
        </w:tc>
        <w:tc>
          <w:tcPr>
            <w:tcW w:w="5718" w:type="dxa"/>
          </w:tcPr>
          <w:p w14:paraId="2F8F2A86" w14:textId="77777777" w:rsidR="005467CB" w:rsidRPr="00135C10" w:rsidRDefault="005467CB" w:rsidP="0042410C">
            <w:pPr>
              <w:spacing w:before="240" w:after="240"/>
            </w:pPr>
            <w:r w:rsidRPr="00135C10">
              <w:t xml:space="preserve">Review your own business continuity and contingency plans to ensure that </w:t>
            </w:r>
            <w:r w:rsidR="00B820BA">
              <w:t>they</w:t>
            </w:r>
            <w:r w:rsidRPr="00135C10">
              <w:t xml:space="preserve"> address any issues associated with the non-supply on non-clinical goods and services.</w:t>
            </w:r>
          </w:p>
          <w:p w14:paraId="225F28A7" w14:textId="654D1052" w:rsidR="005467CB" w:rsidRPr="00135C10" w:rsidRDefault="005467CB" w:rsidP="0042410C">
            <w:pPr>
              <w:pStyle w:val="ListParagraph"/>
              <w:numPr>
                <w:ilvl w:val="0"/>
                <w:numId w:val="3"/>
              </w:numPr>
              <w:spacing w:before="240" w:after="240"/>
            </w:pPr>
            <w:r w:rsidRPr="00135C10">
              <w:t>Review business continuity plans regularly</w:t>
            </w:r>
            <w:r w:rsidR="00F92F69">
              <w:t>.</w:t>
            </w:r>
            <w:r w:rsidR="00F92F69" w:rsidRPr="00135C10">
              <w:t xml:space="preserve"> The </w:t>
            </w:r>
            <w:r w:rsidR="00F92F69">
              <w:t>Ca</w:t>
            </w:r>
            <w:r w:rsidR="00F92F69" w:rsidRPr="00135C10">
              <w:t xml:space="preserve">re </w:t>
            </w:r>
            <w:r w:rsidR="00F92F69">
              <w:t>P</w:t>
            </w:r>
            <w:r w:rsidR="00F92F69" w:rsidRPr="00135C10">
              <w:t xml:space="preserve">rovider </w:t>
            </w:r>
            <w:r w:rsidR="00F92F69">
              <w:t>A</w:t>
            </w:r>
            <w:r w:rsidR="00F92F69" w:rsidRPr="00135C10">
              <w:t xml:space="preserve">lliance has issued a </w:t>
            </w:r>
            <w:r w:rsidR="007F7BE7">
              <w:t>continuity</w:t>
            </w:r>
            <w:r w:rsidR="00F92F69" w:rsidRPr="00135C10">
              <w:t xml:space="preserve"> plan template for adult social care providers </w:t>
            </w:r>
            <w:hyperlink r:id="rId11" w:history="1">
              <w:r w:rsidR="00F92F69" w:rsidRPr="007F7BE7">
                <w:rPr>
                  <w:rStyle w:val="Hyperlink"/>
                </w:rPr>
                <w:t>here.</w:t>
              </w:r>
            </w:hyperlink>
          </w:p>
          <w:p w14:paraId="37A75D91" w14:textId="77777777" w:rsidR="005467CB" w:rsidRPr="00135C10" w:rsidRDefault="005467CB" w:rsidP="0042410C">
            <w:pPr>
              <w:pStyle w:val="ListParagraph"/>
              <w:numPr>
                <w:ilvl w:val="0"/>
                <w:numId w:val="3"/>
              </w:numPr>
              <w:spacing w:before="240" w:after="240"/>
            </w:pPr>
            <w:r w:rsidRPr="00135C10">
              <w:t>Confirm these are up to date and consistent with other local contingency plans</w:t>
            </w:r>
            <w:r w:rsidR="00F92F69">
              <w:t>.</w:t>
            </w:r>
          </w:p>
          <w:p w14:paraId="2ABD67C8" w14:textId="142EB8CA" w:rsidR="005467CB" w:rsidRPr="00135C10" w:rsidRDefault="005467CB" w:rsidP="00F92F69">
            <w:pPr>
              <w:pStyle w:val="ListParagraph"/>
              <w:numPr>
                <w:ilvl w:val="0"/>
                <w:numId w:val="3"/>
              </w:numPr>
              <w:spacing w:before="240" w:after="240"/>
            </w:pPr>
            <w:r w:rsidRPr="00135C10">
              <w:t xml:space="preserve">Ensure these plans cover contingencies for the months following </w:t>
            </w:r>
            <w:r w:rsidR="007F7BE7">
              <w:t>the end of the transition period</w:t>
            </w:r>
            <w:r w:rsidR="00F92F69">
              <w:t>.</w:t>
            </w:r>
          </w:p>
        </w:tc>
        <w:tc>
          <w:tcPr>
            <w:tcW w:w="1050" w:type="dxa"/>
          </w:tcPr>
          <w:p w14:paraId="3F4330E8" w14:textId="77777777" w:rsidR="005467CB" w:rsidRPr="00135C10" w:rsidRDefault="005467CB" w:rsidP="0042410C">
            <w:pPr>
              <w:spacing w:before="240" w:after="240"/>
            </w:pPr>
          </w:p>
        </w:tc>
        <w:tc>
          <w:tcPr>
            <w:tcW w:w="3611" w:type="dxa"/>
          </w:tcPr>
          <w:p w14:paraId="0FB8188A" w14:textId="77777777" w:rsidR="005467CB" w:rsidRPr="00135C10" w:rsidRDefault="005467CB" w:rsidP="0042410C">
            <w:pPr>
              <w:spacing w:before="240" w:after="240"/>
            </w:pPr>
          </w:p>
        </w:tc>
      </w:tr>
    </w:tbl>
    <w:p w14:paraId="14210505" w14:textId="77777777" w:rsidR="003D1599" w:rsidRPr="00135C10" w:rsidRDefault="003D1599" w:rsidP="0042410C">
      <w:pPr>
        <w:spacing w:before="240"/>
      </w:pPr>
      <w:r w:rsidRPr="00135C10">
        <w:br w:type="page"/>
      </w:r>
    </w:p>
    <w:tbl>
      <w:tblPr>
        <w:tblStyle w:val="TableGrid"/>
        <w:tblW w:w="15588" w:type="dxa"/>
        <w:tblLook w:val="04A0" w:firstRow="1" w:lastRow="0" w:firstColumn="1" w:lastColumn="0" w:noHBand="0" w:noVBand="1"/>
      </w:tblPr>
      <w:tblGrid>
        <w:gridCol w:w="1957"/>
        <w:gridCol w:w="3144"/>
        <w:gridCol w:w="5934"/>
        <w:gridCol w:w="1050"/>
        <w:gridCol w:w="3503"/>
      </w:tblGrid>
      <w:tr w:rsidR="003D1599" w:rsidRPr="00135C10" w14:paraId="354CA7E5" w14:textId="77777777" w:rsidTr="00391B56">
        <w:trPr>
          <w:trHeight w:val="558"/>
        </w:trPr>
        <w:tc>
          <w:tcPr>
            <w:tcW w:w="1957" w:type="dxa"/>
            <w:vAlign w:val="center"/>
          </w:tcPr>
          <w:p w14:paraId="51CA4664" w14:textId="77777777" w:rsidR="003D1599" w:rsidRPr="00135C10" w:rsidRDefault="003D1599" w:rsidP="00135C10">
            <w:pPr>
              <w:pStyle w:val="Heading1"/>
              <w:spacing w:before="0"/>
              <w:outlineLvl w:val="0"/>
            </w:pPr>
            <w:bookmarkStart w:id="1" w:name="_Hlk20834835"/>
          </w:p>
        </w:tc>
        <w:tc>
          <w:tcPr>
            <w:tcW w:w="3144" w:type="dxa"/>
            <w:vAlign w:val="center"/>
          </w:tcPr>
          <w:p w14:paraId="57FB3F4C" w14:textId="77777777" w:rsidR="003D1599" w:rsidRPr="00135C10" w:rsidRDefault="003D1599" w:rsidP="00135C10">
            <w:pPr>
              <w:pStyle w:val="Heading1"/>
              <w:spacing w:before="0"/>
              <w:outlineLvl w:val="0"/>
            </w:pPr>
            <w:r w:rsidRPr="00135C10">
              <w:t>Context</w:t>
            </w:r>
          </w:p>
        </w:tc>
        <w:tc>
          <w:tcPr>
            <w:tcW w:w="5934" w:type="dxa"/>
            <w:vAlign w:val="center"/>
          </w:tcPr>
          <w:p w14:paraId="5CB81FB3" w14:textId="77777777" w:rsidR="003D1599" w:rsidRPr="00135C10" w:rsidRDefault="003D1599" w:rsidP="00135C10">
            <w:pPr>
              <w:pStyle w:val="Heading1"/>
              <w:spacing w:before="0"/>
              <w:outlineLvl w:val="0"/>
            </w:pPr>
            <w:r w:rsidRPr="00135C10">
              <w:t>Action</w:t>
            </w:r>
          </w:p>
        </w:tc>
        <w:tc>
          <w:tcPr>
            <w:tcW w:w="1050" w:type="dxa"/>
            <w:vAlign w:val="center"/>
          </w:tcPr>
          <w:p w14:paraId="1EA4EEBF" w14:textId="77777777" w:rsidR="003D1599" w:rsidRPr="00135C10" w:rsidRDefault="003D1599" w:rsidP="00135C10">
            <w:pPr>
              <w:pStyle w:val="Heading1"/>
              <w:spacing w:before="0"/>
              <w:jc w:val="center"/>
              <w:outlineLvl w:val="0"/>
            </w:pPr>
            <w:r w:rsidRPr="00135C10">
              <w:t>Done?</w:t>
            </w:r>
          </w:p>
          <w:p w14:paraId="3867CB43" w14:textId="77777777" w:rsidR="003D1599" w:rsidRPr="00135C10" w:rsidRDefault="003D1599" w:rsidP="00135C10">
            <w:pPr>
              <w:pStyle w:val="Heading1"/>
              <w:spacing w:before="0"/>
              <w:jc w:val="center"/>
              <w:outlineLvl w:val="0"/>
            </w:pPr>
            <w:r w:rsidRPr="00135C10">
              <w:sym w:font="Wingdings" w:char="F0FE"/>
            </w:r>
          </w:p>
        </w:tc>
        <w:tc>
          <w:tcPr>
            <w:tcW w:w="3503" w:type="dxa"/>
            <w:vAlign w:val="center"/>
          </w:tcPr>
          <w:p w14:paraId="00ED93D3" w14:textId="77777777" w:rsidR="003D1599" w:rsidRPr="00135C10" w:rsidRDefault="003D1599" w:rsidP="00135C10">
            <w:pPr>
              <w:pStyle w:val="Heading1"/>
              <w:spacing w:before="0"/>
              <w:outlineLvl w:val="0"/>
            </w:pPr>
            <w:r w:rsidRPr="00135C10">
              <w:t>Your Remedial Activity</w:t>
            </w:r>
          </w:p>
        </w:tc>
      </w:tr>
      <w:bookmarkEnd w:id="1"/>
      <w:tr w:rsidR="00391B56" w:rsidRPr="00135C10" w14:paraId="1992FA16" w14:textId="77777777" w:rsidTr="00391B56">
        <w:tc>
          <w:tcPr>
            <w:tcW w:w="1957" w:type="dxa"/>
            <w:vMerge w:val="restart"/>
          </w:tcPr>
          <w:p w14:paraId="58D1D668" w14:textId="77777777" w:rsidR="00391B56" w:rsidRPr="00135C10" w:rsidRDefault="00391B56" w:rsidP="0042410C">
            <w:pPr>
              <w:pStyle w:val="Heading2"/>
              <w:spacing w:before="240" w:after="240"/>
              <w:outlineLvl w:val="1"/>
              <w:rPr>
                <w:sz w:val="32"/>
                <w:szCs w:val="32"/>
              </w:rPr>
            </w:pPr>
            <w:r w:rsidRPr="00135C10">
              <w:rPr>
                <w:sz w:val="32"/>
                <w:szCs w:val="32"/>
              </w:rPr>
              <w:t>Workforce</w:t>
            </w:r>
          </w:p>
        </w:tc>
        <w:tc>
          <w:tcPr>
            <w:tcW w:w="3144" w:type="dxa"/>
            <w:vMerge w:val="restart"/>
          </w:tcPr>
          <w:p w14:paraId="051B2D70" w14:textId="642E5472" w:rsidR="00391B56" w:rsidRPr="00135C10" w:rsidRDefault="00391B56" w:rsidP="0042410C">
            <w:pPr>
              <w:spacing w:before="240" w:after="240"/>
              <w:rPr>
                <w:b/>
              </w:rPr>
            </w:pPr>
            <w:r w:rsidRPr="00135C10">
              <w:rPr>
                <w:b/>
              </w:rPr>
              <w:t xml:space="preserve">You should review your capacity and activity plans regularly. Your business continuity plans should cover the supply of staff you need to deliver services before </w:t>
            </w:r>
            <w:r w:rsidR="003F49C5">
              <w:rPr>
                <w:b/>
              </w:rPr>
              <w:t>the Transition Period ends</w:t>
            </w:r>
          </w:p>
          <w:p w14:paraId="7EAACECA" w14:textId="77777777" w:rsidR="00391B56" w:rsidRPr="00135C10" w:rsidRDefault="00391B56" w:rsidP="0042410C">
            <w:pPr>
              <w:spacing w:before="240"/>
            </w:pPr>
          </w:p>
          <w:p w14:paraId="79CC28EB" w14:textId="77777777" w:rsidR="00391B56" w:rsidRPr="00135C10" w:rsidRDefault="00391B56" w:rsidP="0042410C">
            <w:pPr>
              <w:spacing w:before="240"/>
            </w:pPr>
          </w:p>
          <w:p w14:paraId="284AC439" w14:textId="77777777" w:rsidR="00391B56" w:rsidRPr="00135C10" w:rsidRDefault="00391B56" w:rsidP="0042410C">
            <w:pPr>
              <w:spacing w:before="240"/>
            </w:pPr>
          </w:p>
          <w:p w14:paraId="57567421" w14:textId="77777777" w:rsidR="00391B56" w:rsidRPr="00135C10" w:rsidRDefault="00391B56" w:rsidP="0042410C">
            <w:pPr>
              <w:spacing w:before="240"/>
            </w:pPr>
          </w:p>
          <w:p w14:paraId="2AB20363" w14:textId="77777777" w:rsidR="00391B56" w:rsidRPr="00135C10" w:rsidRDefault="00391B56" w:rsidP="0042410C">
            <w:pPr>
              <w:spacing w:before="240"/>
            </w:pPr>
          </w:p>
        </w:tc>
        <w:tc>
          <w:tcPr>
            <w:tcW w:w="5934" w:type="dxa"/>
          </w:tcPr>
          <w:p w14:paraId="0A38A7F0" w14:textId="77777777" w:rsidR="00391B56" w:rsidRPr="00135C10" w:rsidRDefault="00391B56" w:rsidP="0042410C">
            <w:pPr>
              <w:spacing w:before="240" w:after="240"/>
            </w:pPr>
            <w:r w:rsidRPr="00135C10">
              <w:t xml:space="preserve">Make sure you tell any staff who are EU citizens about the </w:t>
            </w:r>
            <w:hyperlink r:id="rId12" w:history="1">
              <w:r w:rsidRPr="00135C10">
                <w:rPr>
                  <w:rStyle w:val="Hyperlink"/>
                </w:rPr>
                <w:t>EU Settlement Scheme</w:t>
              </w:r>
            </w:hyperlink>
            <w:r w:rsidRPr="00135C10">
              <w:t>, and help them apply if they need support.</w:t>
            </w:r>
          </w:p>
        </w:tc>
        <w:tc>
          <w:tcPr>
            <w:tcW w:w="1050" w:type="dxa"/>
          </w:tcPr>
          <w:p w14:paraId="3A8F53CA" w14:textId="77777777" w:rsidR="00391B56" w:rsidRPr="00135C10" w:rsidRDefault="00391B56" w:rsidP="0042410C">
            <w:pPr>
              <w:spacing w:before="240" w:after="240"/>
            </w:pPr>
          </w:p>
        </w:tc>
        <w:tc>
          <w:tcPr>
            <w:tcW w:w="3503" w:type="dxa"/>
          </w:tcPr>
          <w:p w14:paraId="278E4FAA" w14:textId="77777777" w:rsidR="00391B56" w:rsidRPr="00135C10" w:rsidRDefault="00391B56" w:rsidP="0042410C">
            <w:pPr>
              <w:spacing w:before="240" w:after="240"/>
            </w:pPr>
          </w:p>
        </w:tc>
      </w:tr>
      <w:tr w:rsidR="00391B56" w:rsidRPr="00135C10" w14:paraId="1DC50D49" w14:textId="77777777" w:rsidTr="00391B56">
        <w:tc>
          <w:tcPr>
            <w:tcW w:w="1957" w:type="dxa"/>
            <w:vMerge/>
          </w:tcPr>
          <w:p w14:paraId="3690E2DA" w14:textId="77777777" w:rsidR="00391B56" w:rsidRPr="00135C10" w:rsidRDefault="00391B56" w:rsidP="0042410C">
            <w:pPr>
              <w:pStyle w:val="Heading2"/>
              <w:spacing w:before="240" w:after="240"/>
              <w:outlineLvl w:val="1"/>
              <w:rPr>
                <w:sz w:val="32"/>
                <w:szCs w:val="32"/>
              </w:rPr>
            </w:pPr>
          </w:p>
        </w:tc>
        <w:tc>
          <w:tcPr>
            <w:tcW w:w="3144" w:type="dxa"/>
            <w:vMerge/>
          </w:tcPr>
          <w:p w14:paraId="6F5B9C42" w14:textId="77777777" w:rsidR="00391B56" w:rsidRPr="00135C10" w:rsidRDefault="00391B56" w:rsidP="0042410C">
            <w:pPr>
              <w:spacing w:before="240" w:after="240"/>
              <w:rPr>
                <w:b/>
              </w:rPr>
            </w:pPr>
          </w:p>
        </w:tc>
        <w:tc>
          <w:tcPr>
            <w:tcW w:w="5934" w:type="dxa"/>
          </w:tcPr>
          <w:p w14:paraId="288692BA" w14:textId="77777777" w:rsidR="00391B56" w:rsidRPr="00135C10" w:rsidRDefault="00391B56" w:rsidP="0042410C">
            <w:pPr>
              <w:spacing w:before="240" w:after="240"/>
            </w:pPr>
            <w:r w:rsidRPr="00135C10">
              <w:t xml:space="preserve">Read the HCPA leaflet – </w:t>
            </w:r>
            <w:hyperlink r:id="rId13" w:history="1">
              <w:r w:rsidRPr="00135C10">
                <w:rPr>
                  <w:rStyle w:val="Hyperlink"/>
                </w:rPr>
                <w:t>EU Settlement Scheme - Our Easy How to Guide.</w:t>
              </w:r>
            </w:hyperlink>
            <w:r w:rsidRPr="00135C10">
              <w:t xml:space="preserve"> </w:t>
            </w:r>
          </w:p>
        </w:tc>
        <w:tc>
          <w:tcPr>
            <w:tcW w:w="1050" w:type="dxa"/>
          </w:tcPr>
          <w:p w14:paraId="4DB7C20F" w14:textId="77777777" w:rsidR="00391B56" w:rsidRPr="00135C10" w:rsidRDefault="00391B56" w:rsidP="0042410C">
            <w:pPr>
              <w:spacing w:before="240" w:after="240"/>
            </w:pPr>
          </w:p>
        </w:tc>
        <w:tc>
          <w:tcPr>
            <w:tcW w:w="3503" w:type="dxa"/>
          </w:tcPr>
          <w:p w14:paraId="1D9CA726" w14:textId="77777777" w:rsidR="00391B56" w:rsidRPr="00135C10" w:rsidRDefault="00391B56" w:rsidP="0042410C">
            <w:pPr>
              <w:spacing w:before="240" w:after="240"/>
            </w:pPr>
          </w:p>
        </w:tc>
      </w:tr>
      <w:tr w:rsidR="00391B56" w:rsidRPr="00135C10" w14:paraId="4B761919" w14:textId="77777777" w:rsidTr="00391B56">
        <w:tc>
          <w:tcPr>
            <w:tcW w:w="1957" w:type="dxa"/>
            <w:vMerge/>
          </w:tcPr>
          <w:p w14:paraId="2B9B7101" w14:textId="77777777" w:rsidR="00391B56" w:rsidRPr="00135C10" w:rsidRDefault="00391B56" w:rsidP="0042410C">
            <w:pPr>
              <w:pStyle w:val="Heading2"/>
              <w:spacing w:before="240" w:after="240"/>
              <w:outlineLvl w:val="1"/>
              <w:rPr>
                <w:sz w:val="32"/>
                <w:szCs w:val="32"/>
              </w:rPr>
            </w:pPr>
          </w:p>
        </w:tc>
        <w:tc>
          <w:tcPr>
            <w:tcW w:w="3144" w:type="dxa"/>
            <w:vMerge/>
          </w:tcPr>
          <w:p w14:paraId="054AF1C8" w14:textId="77777777" w:rsidR="00391B56" w:rsidRPr="00135C10" w:rsidRDefault="00391B56" w:rsidP="0042410C">
            <w:pPr>
              <w:spacing w:before="240" w:after="240"/>
              <w:rPr>
                <w:b/>
              </w:rPr>
            </w:pPr>
          </w:p>
        </w:tc>
        <w:tc>
          <w:tcPr>
            <w:tcW w:w="5934" w:type="dxa"/>
          </w:tcPr>
          <w:p w14:paraId="272A44E6" w14:textId="2DBFC137" w:rsidR="00391B56" w:rsidRPr="00135C10" w:rsidRDefault="003F49C5" w:rsidP="0042410C">
            <w:pPr>
              <w:spacing w:before="240" w:after="240"/>
            </w:pPr>
            <w:r w:rsidRPr="003F49C5">
              <w:t xml:space="preserve">If </w:t>
            </w:r>
            <w:proofErr w:type="gramStart"/>
            <w:r w:rsidRPr="003F49C5">
              <w:t>you’re</w:t>
            </w:r>
            <w:proofErr w:type="gramEnd"/>
            <w:r w:rsidRPr="003F49C5">
              <w:t xml:space="preserve"> an EU, EEA or Swiss citizen, you and your family can apply to the EU Settlement Scheme to continue living in the UK after 30 June 2021</w:t>
            </w:r>
          </w:p>
        </w:tc>
        <w:tc>
          <w:tcPr>
            <w:tcW w:w="1050" w:type="dxa"/>
          </w:tcPr>
          <w:p w14:paraId="1BA1EAB9" w14:textId="77777777" w:rsidR="00391B56" w:rsidRPr="00135C10" w:rsidRDefault="00391B56" w:rsidP="0042410C">
            <w:pPr>
              <w:spacing w:before="240" w:after="240"/>
            </w:pPr>
          </w:p>
        </w:tc>
        <w:tc>
          <w:tcPr>
            <w:tcW w:w="3503" w:type="dxa"/>
          </w:tcPr>
          <w:p w14:paraId="2DB67368" w14:textId="77777777" w:rsidR="00391B56" w:rsidRPr="00135C10" w:rsidRDefault="00391B56" w:rsidP="0042410C">
            <w:pPr>
              <w:spacing w:before="240" w:after="240"/>
            </w:pPr>
          </w:p>
        </w:tc>
      </w:tr>
      <w:tr w:rsidR="00391B56" w:rsidRPr="00135C10" w14:paraId="19F7A4B3" w14:textId="77777777" w:rsidTr="00391B56">
        <w:tc>
          <w:tcPr>
            <w:tcW w:w="1957" w:type="dxa"/>
            <w:vMerge/>
          </w:tcPr>
          <w:p w14:paraId="0CADB664" w14:textId="77777777" w:rsidR="00391B56" w:rsidRPr="00135C10" w:rsidRDefault="00391B56" w:rsidP="0042410C">
            <w:pPr>
              <w:pStyle w:val="Heading2"/>
              <w:spacing w:before="240" w:after="240"/>
              <w:outlineLvl w:val="1"/>
              <w:rPr>
                <w:sz w:val="32"/>
                <w:szCs w:val="32"/>
              </w:rPr>
            </w:pPr>
          </w:p>
        </w:tc>
        <w:tc>
          <w:tcPr>
            <w:tcW w:w="3144" w:type="dxa"/>
            <w:vMerge/>
          </w:tcPr>
          <w:p w14:paraId="7F3AD9CA" w14:textId="77777777" w:rsidR="00391B56" w:rsidRPr="00135C10" w:rsidRDefault="00391B56" w:rsidP="0042410C">
            <w:pPr>
              <w:spacing w:before="240" w:after="240"/>
              <w:rPr>
                <w:b/>
              </w:rPr>
            </w:pPr>
          </w:p>
        </w:tc>
        <w:tc>
          <w:tcPr>
            <w:tcW w:w="5934" w:type="dxa"/>
          </w:tcPr>
          <w:p w14:paraId="0FC214D2" w14:textId="77777777" w:rsidR="00391B56" w:rsidRPr="00135C10" w:rsidRDefault="00391B56" w:rsidP="0042410C">
            <w:pPr>
              <w:spacing w:before="240" w:after="240"/>
            </w:pPr>
            <w:r w:rsidRPr="00135C10">
              <w:t xml:space="preserve">Be prepared to notify your local commissioner, Director of Adult Care Services and the Care Quality Commission </w:t>
            </w:r>
            <w:r w:rsidRPr="00391B56">
              <w:rPr>
                <w:b/>
              </w:rPr>
              <w:t>as soon as possible if there is any risk to service delivery.</w:t>
            </w:r>
          </w:p>
        </w:tc>
        <w:tc>
          <w:tcPr>
            <w:tcW w:w="1050" w:type="dxa"/>
          </w:tcPr>
          <w:p w14:paraId="23A56846" w14:textId="77777777" w:rsidR="00391B56" w:rsidRPr="00135C10" w:rsidRDefault="00391B56" w:rsidP="0042410C">
            <w:pPr>
              <w:spacing w:before="240" w:after="240"/>
            </w:pPr>
          </w:p>
        </w:tc>
        <w:tc>
          <w:tcPr>
            <w:tcW w:w="3503" w:type="dxa"/>
          </w:tcPr>
          <w:p w14:paraId="1B9E10CF" w14:textId="77777777" w:rsidR="00391B56" w:rsidRPr="00135C10" w:rsidRDefault="00391B56" w:rsidP="0042410C">
            <w:pPr>
              <w:spacing w:before="240" w:after="240"/>
            </w:pPr>
          </w:p>
        </w:tc>
      </w:tr>
      <w:tr w:rsidR="00391B56" w:rsidRPr="00135C10" w14:paraId="5ECA7EB0" w14:textId="77777777" w:rsidTr="00391B56">
        <w:tc>
          <w:tcPr>
            <w:tcW w:w="1957" w:type="dxa"/>
            <w:vMerge/>
          </w:tcPr>
          <w:p w14:paraId="4C763627" w14:textId="77777777" w:rsidR="00391B56" w:rsidRPr="00135C10" w:rsidRDefault="00391B56" w:rsidP="0042410C">
            <w:pPr>
              <w:pStyle w:val="Heading2"/>
              <w:spacing w:before="240" w:after="240"/>
              <w:outlineLvl w:val="1"/>
              <w:rPr>
                <w:sz w:val="32"/>
                <w:szCs w:val="32"/>
              </w:rPr>
            </w:pPr>
          </w:p>
        </w:tc>
        <w:tc>
          <w:tcPr>
            <w:tcW w:w="3144" w:type="dxa"/>
            <w:vMerge/>
          </w:tcPr>
          <w:p w14:paraId="6E0848D0" w14:textId="77777777" w:rsidR="00391B56" w:rsidRPr="00135C10" w:rsidRDefault="00391B56" w:rsidP="0042410C">
            <w:pPr>
              <w:spacing w:before="240" w:after="240"/>
              <w:rPr>
                <w:b/>
              </w:rPr>
            </w:pPr>
          </w:p>
        </w:tc>
        <w:tc>
          <w:tcPr>
            <w:tcW w:w="5934" w:type="dxa"/>
          </w:tcPr>
          <w:p w14:paraId="4EDE3AD0" w14:textId="77777777" w:rsidR="00391B56" w:rsidRPr="00135C10" w:rsidRDefault="00391B56" w:rsidP="0042410C">
            <w:pPr>
              <w:spacing w:before="240" w:after="240"/>
            </w:pPr>
            <w:r>
              <w:t xml:space="preserve">Be aware that fuel shortages may prevent staff from </w:t>
            </w:r>
            <w:r w:rsidR="00B77086">
              <w:t>getting</w:t>
            </w:r>
            <w:r>
              <w:t xml:space="preserve"> into work. </w:t>
            </w:r>
            <w:r w:rsidR="00B77086">
              <w:t xml:space="preserve">Consider and plan for </w:t>
            </w:r>
            <w:r>
              <w:t>alternative travel arrangements.</w:t>
            </w:r>
          </w:p>
        </w:tc>
        <w:tc>
          <w:tcPr>
            <w:tcW w:w="1050" w:type="dxa"/>
          </w:tcPr>
          <w:p w14:paraId="3E832317" w14:textId="77777777" w:rsidR="00391B56" w:rsidRPr="00135C10" w:rsidRDefault="00391B56" w:rsidP="0042410C">
            <w:pPr>
              <w:spacing w:before="240" w:after="240"/>
            </w:pPr>
          </w:p>
        </w:tc>
        <w:tc>
          <w:tcPr>
            <w:tcW w:w="3503" w:type="dxa"/>
          </w:tcPr>
          <w:p w14:paraId="47E607EA" w14:textId="77777777" w:rsidR="00391B56" w:rsidRPr="00135C10" w:rsidRDefault="00391B56" w:rsidP="0042410C">
            <w:pPr>
              <w:spacing w:before="240" w:after="240"/>
            </w:pPr>
          </w:p>
        </w:tc>
      </w:tr>
    </w:tbl>
    <w:p w14:paraId="196B083F" w14:textId="77777777" w:rsidR="00391B56" w:rsidRDefault="00391B56"/>
    <w:tbl>
      <w:tblPr>
        <w:tblStyle w:val="TableGrid"/>
        <w:tblW w:w="15588" w:type="dxa"/>
        <w:tblLook w:val="04A0" w:firstRow="1" w:lastRow="0" w:firstColumn="1" w:lastColumn="0" w:noHBand="0" w:noVBand="1"/>
      </w:tblPr>
      <w:tblGrid>
        <w:gridCol w:w="1957"/>
        <w:gridCol w:w="3144"/>
        <w:gridCol w:w="5934"/>
        <w:gridCol w:w="1050"/>
        <w:gridCol w:w="3503"/>
      </w:tblGrid>
      <w:tr w:rsidR="00391B56" w:rsidRPr="00135C10" w14:paraId="5910E60A" w14:textId="77777777" w:rsidTr="0064621A">
        <w:trPr>
          <w:trHeight w:val="558"/>
        </w:trPr>
        <w:tc>
          <w:tcPr>
            <w:tcW w:w="1957" w:type="dxa"/>
            <w:vAlign w:val="center"/>
          </w:tcPr>
          <w:p w14:paraId="3A28185A" w14:textId="77777777" w:rsidR="00391B56" w:rsidRPr="00135C10" w:rsidRDefault="00391B56" w:rsidP="0064621A">
            <w:pPr>
              <w:pStyle w:val="Heading1"/>
              <w:spacing w:before="0"/>
              <w:outlineLvl w:val="0"/>
            </w:pPr>
          </w:p>
        </w:tc>
        <w:tc>
          <w:tcPr>
            <w:tcW w:w="3144" w:type="dxa"/>
            <w:vAlign w:val="center"/>
          </w:tcPr>
          <w:p w14:paraId="2F3B08C4" w14:textId="77777777" w:rsidR="00391B56" w:rsidRPr="00135C10" w:rsidRDefault="00391B56" w:rsidP="0064621A">
            <w:pPr>
              <w:pStyle w:val="Heading1"/>
              <w:spacing w:before="0"/>
              <w:outlineLvl w:val="0"/>
            </w:pPr>
            <w:r w:rsidRPr="00135C10">
              <w:t>Context</w:t>
            </w:r>
          </w:p>
        </w:tc>
        <w:tc>
          <w:tcPr>
            <w:tcW w:w="5934" w:type="dxa"/>
            <w:vAlign w:val="center"/>
          </w:tcPr>
          <w:p w14:paraId="06CC1967" w14:textId="77777777" w:rsidR="00391B56" w:rsidRPr="00135C10" w:rsidRDefault="00391B56" w:rsidP="0064621A">
            <w:pPr>
              <w:pStyle w:val="Heading1"/>
              <w:spacing w:before="0"/>
              <w:outlineLvl w:val="0"/>
            </w:pPr>
            <w:r w:rsidRPr="00135C10">
              <w:t>Action</w:t>
            </w:r>
          </w:p>
        </w:tc>
        <w:tc>
          <w:tcPr>
            <w:tcW w:w="1050" w:type="dxa"/>
            <w:vAlign w:val="center"/>
          </w:tcPr>
          <w:p w14:paraId="5EF741DC" w14:textId="77777777" w:rsidR="00391B56" w:rsidRPr="00135C10" w:rsidRDefault="00391B56" w:rsidP="0064621A">
            <w:pPr>
              <w:pStyle w:val="Heading1"/>
              <w:spacing w:before="0"/>
              <w:jc w:val="center"/>
              <w:outlineLvl w:val="0"/>
            </w:pPr>
            <w:r w:rsidRPr="00135C10">
              <w:t>Done?</w:t>
            </w:r>
          </w:p>
          <w:p w14:paraId="4EA66CAA" w14:textId="77777777" w:rsidR="00391B56" w:rsidRPr="00135C10" w:rsidRDefault="00391B56" w:rsidP="0064621A">
            <w:pPr>
              <w:pStyle w:val="Heading1"/>
              <w:spacing w:before="0"/>
              <w:jc w:val="center"/>
              <w:outlineLvl w:val="0"/>
            </w:pPr>
            <w:r w:rsidRPr="00135C10">
              <w:sym w:font="Wingdings" w:char="F0FE"/>
            </w:r>
          </w:p>
        </w:tc>
        <w:tc>
          <w:tcPr>
            <w:tcW w:w="3503" w:type="dxa"/>
            <w:vAlign w:val="center"/>
          </w:tcPr>
          <w:p w14:paraId="61A38422" w14:textId="77777777" w:rsidR="00391B56" w:rsidRPr="00135C10" w:rsidRDefault="00391B56" w:rsidP="0064621A">
            <w:pPr>
              <w:pStyle w:val="Heading1"/>
              <w:spacing w:before="0"/>
              <w:outlineLvl w:val="0"/>
            </w:pPr>
            <w:r w:rsidRPr="00135C10">
              <w:t>Your Remedial Activity</w:t>
            </w:r>
          </w:p>
        </w:tc>
      </w:tr>
      <w:tr w:rsidR="005467CB" w:rsidRPr="00135C10" w14:paraId="1624E5F9" w14:textId="77777777" w:rsidTr="00391B56">
        <w:tc>
          <w:tcPr>
            <w:tcW w:w="1957" w:type="dxa"/>
          </w:tcPr>
          <w:p w14:paraId="7855F7BA" w14:textId="77777777" w:rsidR="005467CB" w:rsidRPr="00135C10" w:rsidRDefault="00391B56" w:rsidP="0042410C">
            <w:pPr>
              <w:pStyle w:val="Heading2"/>
              <w:spacing w:before="240" w:after="240"/>
              <w:outlineLvl w:val="1"/>
              <w:rPr>
                <w:sz w:val="32"/>
                <w:szCs w:val="32"/>
              </w:rPr>
            </w:pPr>
            <w:r w:rsidRPr="00135C10">
              <w:rPr>
                <w:sz w:val="32"/>
                <w:szCs w:val="32"/>
              </w:rPr>
              <w:t>Workforce</w:t>
            </w:r>
            <w:r>
              <w:rPr>
                <w:sz w:val="32"/>
                <w:szCs w:val="32"/>
              </w:rPr>
              <w:t xml:space="preserve"> continued</w:t>
            </w:r>
          </w:p>
        </w:tc>
        <w:tc>
          <w:tcPr>
            <w:tcW w:w="3144" w:type="dxa"/>
          </w:tcPr>
          <w:p w14:paraId="150DA291" w14:textId="79438616" w:rsidR="005467CB" w:rsidRPr="00135C10" w:rsidRDefault="005467CB" w:rsidP="0042410C">
            <w:pPr>
              <w:spacing w:before="240" w:after="240"/>
              <w:rPr>
                <w:b/>
              </w:rPr>
            </w:pPr>
            <w:r w:rsidRPr="00135C10">
              <w:rPr>
                <w:b/>
              </w:rPr>
              <w:t xml:space="preserve">Some staff have expressed concern about whether their professional qualifications will still be recognised </w:t>
            </w:r>
            <w:r w:rsidR="007F7BE7">
              <w:rPr>
                <w:b/>
              </w:rPr>
              <w:t>now</w:t>
            </w:r>
            <w:r w:rsidRPr="00135C10">
              <w:rPr>
                <w:b/>
              </w:rPr>
              <w:t xml:space="preserve"> the UK </w:t>
            </w:r>
            <w:r w:rsidR="007F7BE7">
              <w:rPr>
                <w:b/>
              </w:rPr>
              <w:t xml:space="preserve">has left the </w:t>
            </w:r>
            <w:r w:rsidRPr="00135C10">
              <w:rPr>
                <w:b/>
              </w:rPr>
              <w:t>EU</w:t>
            </w:r>
            <w:r w:rsidR="007F7BE7">
              <w:rPr>
                <w:b/>
              </w:rPr>
              <w:t>.</w:t>
            </w:r>
          </w:p>
        </w:tc>
        <w:tc>
          <w:tcPr>
            <w:tcW w:w="5934" w:type="dxa"/>
          </w:tcPr>
          <w:p w14:paraId="2BD0441C" w14:textId="77777777" w:rsidR="007F7BE7" w:rsidRDefault="007F7BE7" w:rsidP="007F7BE7">
            <w:pPr>
              <w:spacing w:before="240" w:after="240"/>
            </w:pPr>
            <w:r>
              <w:t xml:space="preserve">Know how professional qualifications obtained in the EU, Iceland, Liechtenstein, </w:t>
            </w:r>
            <w:proofErr w:type="gramStart"/>
            <w:r>
              <w:t>Norway</w:t>
            </w:r>
            <w:proofErr w:type="gramEnd"/>
            <w:r>
              <w:t xml:space="preserve"> and Switzerland will be recognised in the UK from 1 January 2021.</w:t>
            </w:r>
          </w:p>
          <w:p w14:paraId="6FD1BF42" w14:textId="77777777" w:rsidR="007F7BE7" w:rsidRDefault="007F7BE7" w:rsidP="007F7BE7">
            <w:pPr>
              <w:pStyle w:val="ListParagraph"/>
              <w:numPr>
                <w:ilvl w:val="0"/>
                <w:numId w:val="9"/>
              </w:numPr>
              <w:spacing w:before="240" w:after="240"/>
            </w:pPr>
            <w:r>
              <w:t>Professionals already working in the UK do not have to do anything if their qualification has already been officially recognised by the relevant regulator in the UK. The regulator’s decision to recognise their qualification will remain valid. For professional registration queries, contact the relevant regulator.</w:t>
            </w:r>
          </w:p>
          <w:p w14:paraId="5CA3460E" w14:textId="77777777" w:rsidR="007F7BE7" w:rsidRDefault="007F7BE7" w:rsidP="007F7BE7">
            <w:pPr>
              <w:pStyle w:val="ListParagraph"/>
              <w:numPr>
                <w:ilvl w:val="0"/>
                <w:numId w:val="9"/>
              </w:numPr>
              <w:spacing w:before="240" w:after="240"/>
            </w:pPr>
            <w:r>
              <w:t>If they have been using the temporary or occasional declaration to work in the UK, they will need to get their qualification recognised by the relevant regulator. Applications made before 1 January 2021 will be completed under the existing rules where possible.</w:t>
            </w:r>
          </w:p>
          <w:p w14:paraId="1FD332D9" w14:textId="7212EDB8" w:rsidR="005905B3" w:rsidRPr="00135C10" w:rsidRDefault="007F7BE7" w:rsidP="007F7BE7">
            <w:pPr>
              <w:pStyle w:val="ListParagraph"/>
              <w:numPr>
                <w:ilvl w:val="0"/>
                <w:numId w:val="9"/>
              </w:numPr>
              <w:spacing w:before="240" w:after="240"/>
            </w:pPr>
            <w:r>
              <w:t xml:space="preserve">Check the </w:t>
            </w:r>
            <w:hyperlink r:id="rId14" w:history="1">
              <w:r w:rsidRPr="007F7BE7">
                <w:rPr>
                  <w:rStyle w:val="Hyperlink"/>
                </w:rPr>
                <w:t>UK list of regulated professions</w:t>
              </w:r>
            </w:hyperlink>
            <w:r>
              <w:t xml:space="preserve"> to find out if your profession is regulated.</w:t>
            </w:r>
          </w:p>
        </w:tc>
        <w:tc>
          <w:tcPr>
            <w:tcW w:w="1050" w:type="dxa"/>
          </w:tcPr>
          <w:p w14:paraId="04526E9A" w14:textId="77777777" w:rsidR="005467CB" w:rsidRPr="00135C10" w:rsidRDefault="005467CB" w:rsidP="0042410C">
            <w:pPr>
              <w:spacing w:before="240" w:after="240"/>
            </w:pPr>
          </w:p>
        </w:tc>
        <w:tc>
          <w:tcPr>
            <w:tcW w:w="3503" w:type="dxa"/>
          </w:tcPr>
          <w:p w14:paraId="6969AD29" w14:textId="77777777" w:rsidR="005467CB" w:rsidRPr="00135C10" w:rsidRDefault="005467CB" w:rsidP="0042410C">
            <w:pPr>
              <w:spacing w:before="240" w:after="240"/>
            </w:pPr>
          </w:p>
        </w:tc>
      </w:tr>
    </w:tbl>
    <w:p w14:paraId="20974066" w14:textId="77777777" w:rsidR="00391B56" w:rsidRDefault="00391B56"/>
    <w:tbl>
      <w:tblPr>
        <w:tblStyle w:val="TableGrid"/>
        <w:tblW w:w="15588" w:type="dxa"/>
        <w:tblLook w:val="04A0" w:firstRow="1" w:lastRow="0" w:firstColumn="1" w:lastColumn="0" w:noHBand="0" w:noVBand="1"/>
      </w:tblPr>
      <w:tblGrid>
        <w:gridCol w:w="1957"/>
        <w:gridCol w:w="3144"/>
        <w:gridCol w:w="5934"/>
        <w:gridCol w:w="1050"/>
        <w:gridCol w:w="3503"/>
      </w:tblGrid>
      <w:tr w:rsidR="003D1599" w:rsidRPr="00135C10" w14:paraId="4A8B9F40" w14:textId="77777777" w:rsidTr="00391B56">
        <w:trPr>
          <w:trHeight w:val="558"/>
        </w:trPr>
        <w:tc>
          <w:tcPr>
            <w:tcW w:w="1957" w:type="dxa"/>
            <w:vAlign w:val="center"/>
          </w:tcPr>
          <w:p w14:paraId="658E52B5" w14:textId="77777777" w:rsidR="003D1599" w:rsidRPr="00135C10" w:rsidRDefault="003D1599" w:rsidP="00135C10">
            <w:pPr>
              <w:pStyle w:val="Heading1"/>
              <w:spacing w:before="0"/>
              <w:outlineLvl w:val="0"/>
            </w:pPr>
          </w:p>
        </w:tc>
        <w:tc>
          <w:tcPr>
            <w:tcW w:w="3144" w:type="dxa"/>
            <w:vAlign w:val="center"/>
          </w:tcPr>
          <w:p w14:paraId="2007D8CD" w14:textId="77777777" w:rsidR="003D1599" w:rsidRPr="00135C10" w:rsidRDefault="003D1599" w:rsidP="00135C10">
            <w:pPr>
              <w:pStyle w:val="Heading1"/>
              <w:spacing w:before="0"/>
              <w:outlineLvl w:val="0"/>
            </w:pPr>
            <w:r w:rsidRPr="00135C10">
              <w:t>Context</w:t>
            </w:r>
          </w:p>
        </w:tc>
        <w:tc>
          <w:tcPr>
            <w:tcW w:w="5934" w:type="dxa"/>
            <w:vAlign w:val="center"/>
          </w:tcPr>
          <w:p w14:paraId="6814EB4A" w14:textId="77777777" w:rsidR="003D1599" w:rsidRPr="00135C10" w:rsidRDefault="003D1599" w:rsidP="00135C10">
            <w:pPr>
              <w:pStyle w:val="Heading1"/>
              <w:spacing w:before="0"/>
              <w:outlineLvl w:val="0"/>
            </w:pPr>
            <w:r w:rsidRPr="00135C10">
              <w:t>Action</w:t>
            </w:r>
          </w:p>
        </w:tc>
        <w:tc>
          <w:tcPr>
            <w:tcW w:w="1050" w:type="dxa"/>
            <w:vAlign w:val="center"/>
          </w:tcPr>
          <w:p w14:paraId="05936647" w14:textId="77777777" w:rsidR="003D1599" w:rsidRPr="00135C10" w:rsidRDefault="003D1599" w:rsidP="00135C10">
            <w:pPr>
              <w:pStyle w:val="Heading1"/>
              <w:spacing w:before="0"/>
              <w:jc w:val="center"/>
              <w:outlineLvl w:val="0"/>
            </w:pPr>
            <w:r w:rsidRPr="00135C10">
              <w:t>Done?</w:t>
            </w:r>
          </w:p>
          <w:p w14:paraId="02C776F5" w14:textId="77777777" w:rsidR="003D1599" w:rsidRPr="00135C10" w:rsidRDefault="003D1599" w:rsidP="00135C10">
            <w:pPr>
              <w:pStyle w:val="Heading1"/>
              <w:spacing w:before="0"/>
              <w:jc w:val="center"/>
              <w:outlineLvl w:val="0"/>
            </w:pPr>
            <w:r w:rsidRPr="00135C10">
              <w:sym w:font="Wingdings" w:char="F0FE"/>
            </w:r>
          </w:p>
        </w:tc>
        <w:tc>
          <w:tcPr>
            <w:tcW w:w="3503" w:type="dxa"/>
            <w:vAlign w:val="center"/>
          </w:tcPr>
          <w:p w14:paraId="392B3B38" w14:textId="77777777" w:rsidR="003D1599" w:rsidRPr="00135C10" w:rsidRDefault="003D1599" w:rsidP="00135C10">
            <w:pPr>
              <w:pStyle w:val="Heading1"/>
              <w:spacing w:before="0"/>
              <w:outlineLvl w:val="0"/>
            </w:pPr>
            <w:r w:rsidRPr="00135C10">
              <w:t>Your Remedial Activity</w:t>
            </w:r>
          </w:p>
        </w:tc>
      </w:tr>
      <w:tr w:rsidR="00C97148" w:rsidRPr="00135C10" w14:paraId="7F4C6B3B" w14:textId="77777777" w:rsidTr="00391B56">
        <w:trPr>
          <w:trHeight w:val="547"/>
        </w:trPr>
        <w:tc>
          <w:tcPr>
            <w:tcW w:w="1957" w:type="dxa"/>
            <w:vMerge w:val="restart"/>
          </w:tcPr>
          <w:p w14:paraId="696924CD" w14:textId="77777777" w:rsidR="00C97148" w:rsidRPr="00135C10" w:rsidRDefault="00C97148" w:rsidP="0042410C">
            <w:pPr>
              <w:pStyle w:val="Heading2"/>
              <w:spacing w:before="240" w:after="240"/>
              <w:outlineLvl w:val="1"/>
              <w:rPr>
                <w:sz w:val="32"/>
                <w:szCs w:val="32"/>
              </w:rPr>
            </w:pPr>
            <w:r w:rsidRPr="00135C10">
              <w:rPr>
                <w:sz w:val="32"/>
                <w:szCs w:val="32"/>
              </w:rPr>
              <w:t>Data sharing, processing and access</w:t>
            </w:r>
          </w:p>
        </w:tc>
        <w:tc>
          <w:tcPr>
            <w:tcW w:w="3144" w:type="dxa"/>
            <w:vMerge w:val="restart"/>
          </w:tcPr>
          <w:p w14:paraId="01B5C26A" w14:textId="77777777" w:rsidR="00C97148" w:rsidRPr="00135C10" w:rsidRDefault="00C97148" w:rsidP="0042410C">
            <w:pPr>
              <w:spacing w:before="240" w:after="240"/>
              <w:rPr>
                <w:b/>
              </w:rPr>
            </w:pPr>
            <w:r w:rsidRPr="00135C10">
              <w:rPr>
                <w:b/>
              </w:rPr>
              <w:t>Currently, personal data can be transferred freely between the UK and the EU and other ‘adequate countries’ (countries that the EU defines as having an adequate level of data protection).</w:t>
            </w:r>
          </w:p>
          <w:p w14:paraId="34F00C3D" w14:textId="5D08AFA6" w:rsidR="00C97148" w:rsidRPr="00135C10" w:rsidRDefault="00E1149D" w:rsidP="0042410C">
            <w:pPr>
              <w:spacing w:before="240" w:after="240"/>
            </w:pPr>
            <w:r w:rsidRPr="00E1149D">
              <w:rPr>
                <w:b/>
              </w:rPr>
              <w:t>What action you need to take regarding data protection and data flows with the EU/EEA after the end of the transition period.</w:t>
            </w:r>
          </w:p>
        </w:tc>
        <w:tc>
          <w:tcPr>
            <w:tcW w:w="5934" w:type="dxa"/>
          </w:tcPr>
          <w:p w14:paraId="78124EAF" w14:textId="77777777" w:rsidR="00C97148" w:rsidRPr="00135C10" w:rsidRDefault="00C97148" w:rsidP="0042410C">
            <w:pPr>
              <w:spacing w:before="240" w:after="240"/>
            </w:pPr>
            <w:r w:rsidRPr="00135C10">
              <w:t>Check whether your organisation relies on transfers of personal data from the EU or other adequate countries to the UK.</w:t>
            </w:r>
          </w:p>
        </w:tc>
        <w:tc>
          <w:tcPr>
            <w:tcW w:w="1050" w:type="dxa"/>
          </w:tcPr>
          <w:p w14:paraId="71618E33" w14:textId="77777777" w:rsidR="00C97148" w:rsidRPr="00135C10" w:rsidRDefault="00C97148" w:rsidP="0042410C">
            <w:pPr>
              <w:spacing w:before="240" w:after="240"/>
            </w:pPr>
          </w:p>
        </w:tc>
        <w:tc>
          <w:tcPr>
            <w:tcW w:w="3503" w:type="dxa"/>
          </w:tcPr>
          <w:p w14:paraId="469939D5" w14:textId="77777777" w:rsidR="00C97148" w:rsidRPr="00135C10" w:rsidRDefault="00C97148" w:rsidP="0042410C">
            <w:pPr>
              <w:spacing w:before="240" w:after="240"/>
            </w:pPr>
          </w:p>
        </w:tc>
      </w:tr>
      <w:tr w:rsidR="00C97148" w:rsidRPr="00135C10" w14:paraId="41BC0790" w14:textId="77777777" w:rsidTr="00391B56">
        <w:tc>
          <w:tcPr>
            <w:tcW w:w="1957" w:type="dxa"/>
            <w:vMerge/>
          </w:tcPr>
          <w:p w14:paraId="31BAA1E2" w14:textId="77777777" w:rsidR="00C97148" w:rsidRPr="00135C10" w:rsidRDefault="00C97148" w:rsidP="0042410C">
            <w:pPr>
              <w:pStyle w:val="Heading2"/>
              <w:spacing w:before="240" w:after="240"/>
              <w:outlineLvl w:val="1"/>
              <w:rPr>
                <w:sz w:val="32"/>
                <w:szCs w:val="32"/>
              </w:rPr>
            </w:pPr>
          </w:p>
        </w:tc>
        <w:tc>
          <w:tcPr>
            <w:tcW w:w="3144" w:type="dxa"/>
            <w:vMerge/>
          </w:tcPr>
          <w:p w14:paraId="5FE120DC" w14:textId="77777777" w:rsidR="00C97148" w:rsidRPr="00135C10" w:rsidRDefault="00C97148" w:rsidP="0042410C">
            <w:pPr>
              <w:spacing w:before="240" w:after="240"/>
            </w:pPr>
          </w:p>
        </w:tc>
        <w:tc>
          <w:tcPr>
            <w:tcW w:w="5934" w:type="dxa"/>
          </w:tcPr>
          <w:p w14:paraId="5AB675E1" w14:textId="77777777" w:rsidR="00C97148" w:rsidRPr="00135C10" w:rsidRDefault="00C97148" w:rsidP="0042410C">
            <w:pPr>
              <w:spacing w:before="240" w:after="240"/>
            </w:pPr>
            <w:r w:rsidRPr="00135C10">
              <w:t>If your data may be affected, you will need to put in place alternative arrangements to ensure continued protection and exchange of personal data.</w:t>
            </w:r>
          </w:p>
        </w:tc>
        <w:tc>
          <w:tcPr>
            <w:tcW w:w="1050" w:type="dxa"/>
          </w:tcPr>
          <w:p w14:paraId="24D53067" w14:textId="77777777" w:rsidR="00C97148" w:rsidRPr="00135C10" w:rsidRDefault="00C97148" w:rsidP="0042410C">
            <w:pPr>
              <w:spacing w:before="240" w:after="240"/>
            </w:pPr>
          </w:p>
        </w:tc>
        <w:tc>
          <w:tcPr>
            <w:tcW w:w="3503" w:type="dxa"/>
          </w:tcPr>
          <w:p w14:paraId="21AE95F8" w14:textId="77777777" w:rsidR="00C97148" w:rsidRPr="00135C10" w:rsidRDefault="00C97148" w:rsidP="0042410C">
            <w:pPr>
              <w:spacing w:before="240" w:after="240"/>
            </w:pPr>
          </w:p>
        </w:tc>
      </w:tr>
      <w:tr w:rsidR="00C97148" w:rsidRPr="00135C10" w14:paraId="2199970A" w14:textId="77777777" w:rsidTr="00391B56">
        <w:tc>
          <w:tcPr>
            <w:tcW w:w="1957" w:type="dxa"/>
            <w:vMerge/>
          </w:tcPr>
          <w:p w14:paraId="657AE931" w14:textId="77777777" w:rsidR="00C97148" w:rsidRPr="00135C10" w:rsidRDefault="00C97148" w:rsidP="0042410C">
            <w:pPr>
              <w:pStyle w:val="Heading2"/>
              <w:spacing w:before="240" w:after="240"/>
              <w:outlineLvl w:val="1"/>
              <w:rPr>
                <w:sz w:val="32"/>
                <w:szCs w:val="32"/>
              </w:rPr>
            </w:pPr>
          </w:p>
        </w:tc>
        <w:tc>
          <w:tcPr>
            <w:tcW w:w="3144" w:type="dxa"/>
            <w:vMerge/>
          </w:tcPr>
          <w:p w14:paraId="3750DA63" w14:textId="77777777" w:rsidR="00C97148" w:rsidRPr="00135C10" w:rsidRDefault="00C97148" w:rsidP="0042410C">
            <w:pPr>
              <w:spacing w:before="240" w:after="240"/>
            </w:pPr>
          </w:p>
        </w:tc>
        <w:tc>
          <w:tcPr>
            <w:tcW w:w="5934" w:type="dxa"/>
          </w:tcPr>
          <w:p w14:paraId="33D6DCC9" w14:textId="4B336CE3" w:rsidR="00C97148" w:rsidRPr="00135C10" w:rsidRDefault="00E1149D" w:rsidP="0042410C">
            <w:pPr>
              <w:spacing w:before="240" w:after="240"/>
            </w:pPr>
            <w:r w:rsidRPr="00E1149D">
              <w:t xml:space="preserve">Check the advice from </w:t>
            </w:r>
            <w:hyperlink r:id="rId15" w:history="1">
              <w:r w:rsidRPr="00E1149D">
                <w:rPr>
                  <w:rStyle w:val="Hyperlink"/>
                </w:rPr>
                <w:t>ICO</w:t>
              </w:r>
            </w:hyperlink>
            <w:r w:rsidRPr="00E1149D">
              <w:t xml:space="preserve"> and </w:t>
            </w:r>
            <w:hyperlink r:id="rId16" w:history="1">
              <w:r w:rsidRPr="00E1149D">
                <w:rPr>
                  <w:rStyle w:val="Hyperlink"/>
                </w:rPr>
                <w:t xml:space="preserve">The Department for </w:t>
              </w:r>
              <w:r>
                <w:rPr>
                  <w:rStyle w:val="Hyperlink"/>
                </w:rPr>
                <w:t>D</w:t>
              </w:r>
              <w:r w:rsidRPr="00E1149D">
                <w:rPr>
                  <w:rStyle w:val="Hyperlink"/>
                </w:rPr>
                <w:t xml:space="preserve">igital, </w:t>
              </w:r>
              <w:r>
                <w:rPr>
                  <w:rStyle w:val="Hyperlink"/>
                </w:rPr>
                <w:t>C</w:t>
              </w:r>
              <w:r w:rsidRPr="00E1149D">
                <w:rPr>
                  <w:rStyle w:val="Hyperlink"/>
                </w:rPr>
                <w:t xml:space="preserve">ulture, </w:t>
              </w:r>
              <w:r>
                <w:rPr>
                  <w:rStyle w:val="Hyperlink"/>
                </w:rPr>
                <w:t>M</w:t>
              </w:r>
              <w:r w:rsidRPr="00E1149D">
                <w:rPr>
                  <w:rStyle w:val="Hyperlink"/>
                </w:rPr>
                <w:t xml:space="preserve">edia &amp; </w:t>
              </w:r>
              <w:r>
                <w:rPr>
                  <w:rStyle w:val="Hyperlink"/>
                </w:rPr>
                <w:t>S</w:t>
              </w:r>
              <w:r w:rsidRPr="00E1149D">
                <w:rPr>
                  <w:rStyle w:val="Hyperlink"/>
                </w:rPr>
                <w:t>port</w:t>
              </w:r>
            </w:hyperlink>
            <w:r w:rsidRPr="00E1149D">
              <w:t xml:space="preserve"> regarding Using personal data in your business or other organisation from 1 January 2021.</w:t>
            </w:r>
          </w:p>
        </w:tc>
        <w:tc>
          <w:tcPr>
            <w:tcW w:w="1050" w:type="dxa"/>
          </w:tcPr>
          <w:p w14:paraId="54E0D62C" w14:textId="77777777" w:rsidR="00C97148" w:rsidRPr="00135C10" w:rsidRDefault="00C97148" w:rsidP="0042410C">
            <w:pPr>
              <w:spacing w:before="240" w:after="240"/>
            </w:pPr>
          </w:p>
        </w:tc>
        <w:tc>
          <w:tcPr>
            <w:tcW w:w="3503" w:type="dxa"/>
          </w:tcPr>
          <w:p w14:paraId="508536F1" w14:textId="77777777" w:rsidR="00C97148" w:rsidRPr="00135C10" w:rsidRDefault="00C97148" w:rsidP="0042410C">
            <w:pPr>
              <w:spacing w:before="240" w:after="240"/>
            </w:pPr>
          </w:p>
        </w:tc>
      </w:tr>
      <w:tr w:rsidR="007F7BE7" w:rsidRPr="00135C10" w14:paraId="7A7D3630" w14:textId="77777777" w:rsidTr="007F7BE7">
        <w:trPr>
          <w:trHeight w:val="994"/>
        </w:trPr>
        <w:tc>
          <w:tcPr>
            <w:tcW w:w="1957" w:type="dxa"/>
            <w:vMerge/>
          </w:tcPr>
          <w:p w14:paraId="1C442C28" w14:textId="77777777" w:rsidR="007F7BE7" w:rsidRPr="00135C10" w:rsidRDefault="007F7BE7" w:rsidP="0042410C">
            <w:pPr>
              <w:pStyle w:val="Heading2"/>
              <w:spacing w:before="240" w:after="240"/>
              <w:outlineLvl w:val="1"/>
              <w:rPr>
                <w:sz w:val="32"/>
                <w:szCs w:val="32"/>
              </w:rPr>
            </w:pPr>
          </w:p>
        </w:tc>
        <w:tc>
          <w:tcPr>
            <w:tcW w:w="3144" w:type="dxa"/>
            <w:vMerge/>
          </w:tcPr>
          <w:p w14:paraId="7E5EC5FB" w14:textId="77777777" w:rsidR="007F7BE7" w:rsidRPr="00135C10" w:rsidRDefault="007F7BE7" w:rsidP="0042410C">
            <w:pPr>
              <w:spacing w:before="240" w:after="240"/>
            </w:pPr>
          </w:p>
        </w:tc>
        <w:tc>
          <w:tcPr>
            <w:tcW w:w="5934" w:type="dxa"/>
          </w:tcPr>
          <w:p w14:paraId="14DE2B04" w14:textId="77777777" w:rsidR="007F7BE7" w:rsidRPr="00135C10" w:rsidRDefault="007F7BE7" w:rsidP="0042410C">
            <w:pPr>
              <w:spacing w:before="240" w:after="240"/>
            </w:pPr>
            <w:r w:rsidRPr="00135C10">
              <w:t>Focus on critical data and data that would have a serious impact if disrupted</w:t>
            </w:r>
            <w:r>
              <w:t>.</w:t>
            </w:r>
          </w:p>
        </w:tc>
        <w:tc>
          <w:tcPr>
            <w:tcW w:w="1050" w:type="dxa"/>
          </w:tcPr>
          <w:p w14:paraId="2A25039C" w14:textId="77777777" w:rsidR="007F7BE7" w:rsidRPr="00135C10" w:rsidRDefault="007F7BE7" w:rsidP="0042410C">
            <w:pPr>
              <w:spacing w:before="240" w:after="240"/>
            </w:pPr>
          </w:p>
        </w:tc>
        <w:tc>
          <w:tcPr>
            <w:tcW w:w="3503" w:type="dxa"/>
          </w:tcPr>
          <w:p w14:paraId="69083243" w14:textId="77777777" w:rsidR="007F7BE7" w:rsidRPr="00135C10" w:rsidRDefault="007F7BE7" w:rsidP="0042410C">
            <w:pPr>
              <w:spacing w:before="240" w:after="240"/>
            </w:pPr>
          </w:p>
        </w:tc>
      </w:tr>
    </w:tbl>
    <w:p w14:paraId="05453E32" w14:textId="77777777" w:rsidR="003D1599" w:rsidRPr="00135C10" w:rsidRDefault="003D1599" w:rsidP="0042410C">
      <w:pPr>
        <w:spacing w:before="240"/>
      </w:pPr>
      <w:r w:rsidRPr="00135C10">
        <w:br w:type="page"/>
      </w:r>
    </w:p>
    <w:tbl>
      <w:tblPr>
        <w:tblStyle w:val="TableGrid"/>
        <w:tblW w:w="15588" w:type="dxa"/>
        <w:tblLook w:val="04A0" w:firstRow="1" w:lastRow="0" w:firstColumn="1" w:lastColumn="0" w:noHBand="0" w:noVBand="1"/>
      </w:tblPr>
      <w:tblGrid>
        <w:gridCol w:w="1977"/>
        <w:gridCol w:w="3232"/>
        <w:gridCol w:w="5718"/>
        <w:gridCol w:w="1050"/>
        <w:gridCol w:w="3611"/>
      </w:tblGrid>
      <w:tr w:rsidR="003D1599" w:rsidRPr="00135C10" w14:paraId="2633143B" w14:textId="77777777" w:rsidTr="00615C53">
        <w:trPr>
          <w:trHeight w:val="558"/>
        </w:trPr>
        <w:tc>
          <w:tcPr>
            <w:tcW w:w="1977" w:type="dxa"/>
            <w:vAlign w:val="center"/>
          </w:tcPr>
          <w:p w14:paraId="4C6FB744" w14:textId="77777777" w:rsidR="003D1599" w:rsidRPr="00135C10" w:rsidRDefault="003D1599" w:rsidP="00135C10">
            <w:pPr>
              <w:pStyle w:val="Heading1"/>
              <w:spacing w:before="0"/>
              <w:outlineLvl w:val="0"/>
            </w:pPr>
          </w:p>
        </w:tc>
        <w:tc>
          <w:tcPr>
            <w:tcW w:w="3232" w:type="dxa"/>
            <w:vAlign w:val="center"/>
          </w:tcPr>
          <w:p w14:paraId="74D68C64" w14:textId="77777777" w:rsidR="003D1599" w:rsidRPr="00135C10" w:rsidRDefault="003D1599" w:rsidP="00135C10">
            <w:pPr>
              <w:pStyle w:val="Heading1"/>
              <w:spacing w:before="0"/>
              <w:outlineLvl w:val="0"/>
            </w:pPr>
            <w:r w:rsidRPr="00135C10">
              <w:t>Context</w:t>
            </w:r>
          </w:p>
        </w:tc>
        <w:tc>
          <w:tcPr>
            <w:tcW w:w="5718" w:type="dxa"/>
            <w:vAlign w:val="center"/>
          </w:tcPr>
          <w:p w14:paraId="65D4CD5D" w14:textId="77777777" w:rsidR="003D1599" w:rsidRPr="00135C10" w:rsidRDefault="003D1599" w:rsidP="00135C10">
            <w:pPr>
              <w:pStyle w:val="Heading1"/>
              <w:spacing w:before="0"/>
              <w:outlineLvl w:val="0"/>
            </w:pPr>
            <w:r w:rsidRPr="00135C10">
              <w:t>Action</w:t>
            </w:r>
          </w:p>
        </w:tc>
        <w:tc>
          <w:tcPr>
            <w:tcW w:w="1050" w:type="dxa"/>
            <w:vAlign w:val="center"/>
          </w:tcPr>
          <w:p w14:paraId="2FD75E80" w14:textId="77777777" w:rsidR="003D1599" w:rsidRPr="00135C10" w:rsidRDefault="003D1599" w:rsidP="00135C10">
            <w:pPr>
              <w:pStyle w:val="Heading1"/>
              <w:spacing w:before="0"/>
              <w:jc w:val="center"/>
              <w:outlineLvl w:val="0"/>
            </w:pPr>
            <w:r w:rsidRPr="00135C10">
              <w:t>Done?</w:t>
            </w:r>
          </w:p>
          <w:p w14:paraId="745115AF" w14:textId="77777777" w:rsidR="003D1599" w:rsidRPr="00135C10" w:rsidRDefault="003D1599" w:rsidP="00135C10">
            <w:pPr>
              <w:pStyle w:val="Heading1"/>
              <w:spacing w:before="0"/>
              <w:jc w:val="center"/>
              <w:outlineLvl w:val="0"/>
            </w:pPr>
            <w:r w:rsidRPr="00135C10">
              <w:sym w:font="Wingdings" w:char="F0FE"/>
            </w:r>
          </w:p>
        </w:tc>
        <w:tc>
          <w:tcPr>
            <w:tcW w:w="3611" w:type="dxa"/>
            <w:vAlign w:val="center"/>
          </w:tcPr>
          <w:p w14:paraId="65B9DBD3" w14:textId="77777777" w:rsidR="003D1599" w:rsidRPr="00135C10" w:rsidRDefault="003D1599" w:rsidP="00135C10">
            <w:pPr>
              <w:pStyle w:val="Heading1"/>
              <w:spacing w:before="0"/>
              <w:outlineLvl w:val="0"/>
            </w:pPr>
            <w:r w:rsidRPr="00135C10">
              <w:t>Your Remedial Activity</w:t>
            </w:r>
          </w:p>
        </w:tc>
      </w:tr>
      <w:tr w:rsidR="005467CB" w:rsidRPr="00135C10" w14:paraId="705B9604" w14:textId="77777777" w:rsidTr="003D1599">
        <w:tc>
          <w:tcPr>
            <w:tcW w:w="1977" w:type="dxa"/>
            <w:vMerge w:val="restart"/>
          </w:tcPr>
          <w:p w14:paraId="109BE877" w14:textId="77777777" w:rsidR="003D1599" w:rsidRPr="00135C10" w:rsidRDefault="005467CB" w:rsidP="0042410C">
            <w:pPr>
              <w:pStyle w:val="Heading2"/>
              <w:spacing w:before="240" w:after="240"/>
              <w:outlineLvl w:val="1"/>
              <w:rPr>
                <w:sz w:val="32"/>
                <w:szCs w:val="32"/>
              </w:rPr>
            </w:pPr>
            <w:r w:rsidRPr="00135C10">
              <w:rPr>
                <w:sz w:val="32"/>
                <w:szCs w:val="32"/>
              </w:rPr>
              <w:t>Help and who to contact</w:t>
            </w:r>
          </w:p>
        </w:tc>
        <w:tc>
          <w:tcPr>
            <w:tcW w:w="3232" w:type="dxa"/>
          </w:tcPr>
          <w:p w14:paraId="4831C637" w14:textId="77777777" w:rsidR="005467CB" w:rsidRPr="00135C10" w:rsidRDefault="005467CB" w:rsidP="0042410C">
            <w:pPr>
              <w:spacing w:before="240" w:after="240"/>
              <w:rPr>
                <w:b/>
              </w:rPr>
            </w:pPr>
            <w:r w:rsidRPr="00135C10">
              <w:rPr>
                <w:b/>
              </w:rPr>
              <w:t>Help with supply of medicines and vaccines.</w:t>
            </w:r>
          </w:p>
          <w:p w14:paraId="388E1388" w14:textId="77777777" w:rsidR="005467CB" w:rsidRPr="00135C10" w:rsidRDefault="005467CB" w:rsidP="0042410C">
            <w:pPr>
              <w:spacing w:before="240" w:after="240"/>
              <w:rPr>
                <w:b/>
              </w:rPr>
            </w:pPr>
          </w:p>
        </w:tc>
        <w:tc>
          <w:tcPr>
            <w:tcW w:w="5718" w:type="dxa"/>
          </w:tcPr>
          <w:p w14:paraId="3D90234B" w14:textId="77777777" w:rsidR="00C97148" w:rsidRPr="00135C10" w:rsidRDefault="00C97148" w:rsidP="0042410C">
            <w:pPr>
              <w:spacing w:before="240" w:after="240"/>
            </w:pPr>
            <w:r w:rsidRPr="00135C10">
              <w:t>You should continue to manage medicine and vaccine supply issues in the usual way.</w:t>
            </w:r>
          </w:p>
          <w:p w14:paraId="5DA6DABF" w14:textId="77777777" w:rsidR="00C97148" w:rsidRPr="00135C10" w:rsidRDefault="00C97148" w:rsidP="0042410C">
            <w:pPr>
              <w:spacing w:before="240" w:after="240"/>
            </w:pPr>
            <w:r w:rsidRPr="00135C10">
              <w:t xml:space="preserve">If you are concerned about any supply issues, </w:t>
            </w:r>
            <w:proofErr w:type="gramStart"/>
            <w:r w:rsidRPr="00135C10">
              <w:t>whether or not</w:t>
            </w:r>
            <w:proofErr w:type="gramEnd"/>
            <w:r w:rsidRPr="00135C10">
              <w:t xml:space="preserve"> they are related to Brexit, report them through your community pharmacist.</w:t>
            </w:r>
          </w:p>
          <w:p w14:paraId="74D68FFB" w14:textId="0D9E2589" w:rsidR="005467CB" w:rsidRDefault="00BC12AC" w:rsidP="0042410C">
            <w:pPr>
              <w:spacing w:before="240" w:after="240"/>
            </w:pPr>
            <w:bookmarkStart w:id="2" w:name="_Hlk57645747"/>
            <w:r>
              <w:t>Whilst the page linked below has been officially withdrawn it still contains some useful guidance and contact details.</w:t>
            </w:r>
          </w:p>
          <w:bookmarkStart w:id="3" w:name="_Hlk57645728"/>
          <w:p w14:paraId="6522BDCE" w14:textId="525E15B3" w:rsidR="00BC12AC" w:rsidRPr="00135C10" w:rsidRDefault="004A6AE4" w:rsidP="0042410C">
            <w:pPr>
              <w:spacing w:before="240" w:after="240"/>
            </w:pPr>
            <w:r>
              <w:fldChar w:fldCharType="begin"/>
            </w:r>
            <w:r>
              <w:instrText>HYPERLINK "https://www.gov.uk/guidance/actions-for-adult-social-care-providers-to-prepare-for-brexit" \l "NSDR"</w:instrText>
            </w:r>
            <w:r>
              <w:fldChar w:fldCharType="separate"/>
            </w:r>
            <w:r w:rsidRPr="004A6AE4">
              <w:rPr>
                <w:rStyle w:val="Hyperlink"/>
              </w:rPr>
              <w:t>https://www.gov.uk/guidance/actions-for-adult-social-care-providers-to-prepare-for-brexit#NSDR</w:t>
            </w:r>
            <w:r>
              <w:fldChar w:fldCharType="end"/>
            </w:r>
            <w:bookmarkEnd w:id="2"/>
            <w:bookmarkEnd w:id="3"/>
          </w:p>
        </w:tc>
        <w:tc>
          <w:tcPr>
            <w:tcW w:w="1050" w:type="dxa"/>
          </w:tcPr>
          <w:p w14:paraId="00D881AC" w14:textId="77777777" w:rsidR="005467CB" w:rsidRPr="00135C10" w:rsidRDefault="005467CB" w:rsidP="0042410C">
            <w:pPr>
              <w:spacing w:before="240" w:after="240"/>
            </w:pPr>
          </w:p>
        </w:tc>
        <w:tc>
          <w:tcPr>
            <w:tcW w:w="3611" w:type="dxa"/>
          </w:tcPr>
          <w:p w14:paraId="0CF3644D" w14:textId="77777777" w:rsidR="005467CB" w:rsidRPr="00135C10" w:rsidRDefault="005467CB" w:rsidP="0042410C">
            <w:pPr>
              <w:spacing w:before="240" w:after="240"/>
            </w:pPr>
          </w:p>
        </w:tc>
      </w:tr>
      <w:tr w:rsidR="005467CB" w:rsidRPr="00135C10" w14:paraId="20FD5759" w14:textId="77777777" w:rsidTr="003D1599">
        <w:tc>
          <w:tcPr>
            <w:tcW w:w="1977" w:type="dxa"/>
            <w:vMerge/>
          </w:tcPr>
          <w:p w14:paraId="04971E11" w14:textId="77777777" w:rsidR="005467CB" w:rsidRPr="00135C10" w:rsidRDefault="005467CB" w:rsidP="0042410C">
            <w:pPr>
              <w:pStyle w:val="Heading2"/>
              <w:spacing w:before="240" w:after="240"/>
              <w:outlineLvl w:val="1"/>
              <w:rPr>
                <w:sz w:val="32"/>
                <w:szCs w:val="32"/>
              </w:rPr>
            </w:pPr>
          </w:p>
        </w:tc>
        <w:tc>
          <w:tcPr>
            <w:tcW w:w="3232" w:type="dxa"/>
          </w:tcPr>
          <w:p w14:paraId="34691EC2" w14:textId="77777777" w:rsidR="005467CB" w:rsidRPr="00135C10" w:rsidRDefault="005467CB" w:rsidP="0042410C">
            <w:pPr>
              <w:spacing w:before="240" w:after="240"/>
              <w:rPr>
                <w:b/>
              </w:rPr>
            </w:pPr>
            <w:r w:rsidRPr="00135C10">
              <w:rPr>
                <w:b/>
              </w:rPr>
              <w:t>Help with supply of medical devices, clinical consumables and non-clinical goods and services.</w:t>
            </w:r>
          </w:p>
        </w:tc>
        <w:tc>
          <w:tcPr>
            <w:tcW w:w="5718" w:type="dxa"/>
          </w:tcPr>
          <w:p w14:paraId="7D1C5443" w14:textId="77777777" w:rsidR="0005328C" w:rsidRDefault="0005328C" w:rsidP="0005328C">
            <w:pPr>
              <w:spacing w:before="240" w:after="240"/>
            </w:pPr>
            <w:r w:rsidRPr="0005328C">
              <w:t xml:space="preserve">Eligible health and social care providers can order PPE through the portal to meet the increased need that has arisen </w:t>
            </w:r>
            <w:proofErr w:type="gramStart"/>
            <w:r w:rsidRPr="0005328C">
              <w:t>as a result of</w:t>
            </w:r>
            <w:proofErr w:type="gramEnd"/>
            <w:r w:rsidRPr="0005328C">
              <w:t xml:space="preserve"> the COVID-19 pandemic.</w:t>
            </w:r>
          </w:p>
          <w:p w14:paraId="6A2BBD81" w14:textId="77777777" w:rsidR="0005328C" w:rsidRDefault="00045F48" w:rsidP="0005328C">
            <w:pPr>
              <w:spacing w:before="240" w:after="240"/>
            </w:pPr>
            <w:hyperlink r:id="rId17" w:history="1">
              <w:r w:rsidR="0005328C" w:rsidRPr="0005328C">
                <w:rPr>
                  <w:rStyle w:val="Hyperlink"/>
                </w:rPr>
                <w:t>https://www.gov.uk/guidance/ppe-portal-how-to-order-covid-19-personal-protective-equipment</w:t>
              </w:r>
            </w:hyperlink>
          </w:p>
          <w:p w14:paraId="567A5A0E" w14:textId="77777777" w:rsidR="005467CB" w:rsidRPr="00135C10" w:rsidRDefault="00C97148" w:rsidP="0042410C">
            <w:pPr>
              <w:spacing w:before="240" w:after="240"/>
            </w:pPr>
            <w:r w:rsidRPr="00135C10">
              <w:t xml:space="preserve">Consider if alternative products are available </w:t>
            </w:r>
            <w:r w:rsidR="005467CB" w:rsidRPr="00135C10">
              <w:t>If this does not satisfactorily resolve the issue, or if you have any other concerns around the supply of medical devices, clinical consumables, and non-clinical goods and services, contact your Director of Adult Social Services, relevant local authority EU Exit leads, or talk to your </w:t>
            </w:r>
            <w:hyperlink r:id="rId18" w:history="1">
              <w:r w:rsidR="005467CB" w:rsidRPr="00135C10">
                <w:t>Local Resilience Forum</w:t>
              </w:r>
            </w:hyperlink>
            <w:r w:rsidR="005467CB" w:rsidRPr="00135C10">
              <w:t>.</w:t>
            </w:r>
          </w:p>
          <w:p w14:paraId="2EDD9D35" w14:textId="77777777" w:rsidR="005467CB" w:rsidRPr="00135C10" w:rsidRDefault="005467CB" w:rsidP="0042410C">
            <w:pPr>
              <w:spacing w:before="240" w:after="240"/>
            </w:pPr>
            <w:r w:rsidRPr="00135C10">
              <w:t>Hertfordshire LRF Secretariat, Hertfordshire County Council, County Hall, Pegs Lane, Hertford, SG13 8DE. Contact: </w:t>
            </w:r>
            <w:hyperlink r:id="rId19" w:history="1">
              <w:r w:rsidRPr="00135C10">
                <w:rPr>
                  <w:rStyle w:val="Hyperlink"/>
                </w:rPr>
                <w:t>Owen Tomlinson</w:t>
              </w:r>
            </w:hyperlink>
            <w:r w:rsidRPr="00135C10">
              <w:t> Tel: 01992 555 959 </w:t>
            </w:r>
            <w:hyperlink r:id="rId20" w:history="1">
              <w:r w:rsidRPr="00135C10">
                <w:rPr>
                  <w:rStyle w:val="Hyperlink"/>
                </w:rPr>
                <w:t>Hertfordshire LRF</w:t>
              </w:r>
            </w:hyperlink>
            <w:r w:rsidRPr="00135C10">
              <w:t> </w:t>
            </w:r>
            <w:hyperlink r:id="rId21" w:history="1">
              <w:r w:rsidRPr="00135C10">
                <w:rPr>
                  <w:rStyle w:val="Hyperlink"/>
                </w:rPr>
                <w:t>Community Risk Register</w:t>
              </w:r>
            </w:hyperlink>
          </w:p>
        </w:tc>
        <w:tc>
          <w:tcPr>
            <w:tcW w:w="1050" w:type="dxa"/>
          </w:tcPr>
          <w:p w14:paraId="06E4D718" w14:textId="77777777" w:rsidR="005467CB" w:rsidRPr="00135C10" w:rsidRDefault="005467CB" w:rsidP="0042410C">
            <w:pPr>
              <w:spacing w:before="240" w:after="240"/>
            </w:pPr>
          </w:p>
        </w:tc>
        <w:tc>
          <w:tcPr>
            <w:tcW w:w="3611" w:type="dxa"/>
          </w:tcPr>
          <w:p w14:paraId="141C6938" w14:textId="77777777" w:rsidR="005467CB" w:rsidRPr="00135C10" w:rsidRDefault="005467CB" w:rsidP="0042410C">
            <w:pPr>
              <w:spacing w:before="240" w:after="240"/>
            </w:pPr>
          </w:p>
        </w:tc>
      </w:tr>
    </w:tbl>
    <w:p w14:paraId="320CA82E" w14:textId="77777777" w:rsidR="003D1599" w:rsidRPr="00135C10" w:rsidRDefault="003D1599" w:rsidP="0042410C">
      <w:pPr>
        <w:spacing w:before="240"/>
      </w:pPr>
    </w:p>
    <w:tbl>
      <w:tblPr>
        <w:tblStyle w:val="TableGrid"/>
        <w:tblW w:w="15588" w:type="dxa"/>
        <w:tblLook w:val="04A0" w:firstRow="1" w:lastRow="0" w:firstColumn="1" w:lastColumn="0" w:noHBand="0" w:noVBand="1"/>
      </w:tblPr>
      <w:tblGrid>
        <w:gridCol w:w="1977"/>
        <w:gridCol w:w="3232"/>
        <w:gridCol w:w="5718"/>
        <w:gridCol w:w="1050"/>
        <w:gridCol w:w="3611"/>
      </w:tblGrid>
      <w:tr w:rsidR="003C5358" w:rsidRPr="00135C10" w14:paraId="1C16F8EE" w14:textId="77777777" w:rsidTr="00615C53">
        <w:trPr>
          <w:trHeight w:val="558"/>
        </w:trPr>
        <w:tc>
          <w:tcPr>
            <w:tcW w:w="1977" w:type="dxa"/>
            <w:vAlign w:val="center"/>
          </w:tcPr>
          <w:p w14:paraId="2A9CC50E" w14:textId="77777777" w:rsidR="003C5358" w:rsidRPr="00135C10" w:rsidRDefault="003C5358" w:rsidP="00135C10">
            <w:pPr>
              <w:pStyle w:val="Heading1"/>
              <w:spacing w:before="0"/>
              <w:outlineLvl w:val="0"/>
            </w:pPr>
          </w:p>
        </w:tc>
        <w:tc>
          <w:tcPr>
            <w:tcW w:w="3232" w:type="dxa"/>
            <w:vAlign w:val="center"/>
          </w:tcPr>
          <w:p w14:paraId="5B40637B" w14:textId="77777777" w:rsidR="003C5358" w:rsidRPr="00135C10" w:rsidRDefault="003C5358" w:rsidP="00135C10">
            <w:pPr>
              <w:pStyle w:val="Heading1"/>
              <w:spacing w:before="0"/>
              <w:outlineLvl w:val="0"/>
            </w:pPr>
            <w:r w:rsidRPr="00135C10">
              <w:t>Context</w:t>
            </w:r>
          </w:p>
        </w:tc>
        <w:tc>
          <w:tcPr>
            <w:tcW w:w="5718" w:type="dxa"/>
            <w:vAlign w:val="center"/>
          </w:tcPr>
          <w:p w14:paraId="503544C4" w14:textId="77777777" w:rsidR="003C5358" w:rsidRPr="00135C10" w:rsidRDefault="003C5358" w:rsidP="00135C10">
            <w:pPr>
              <w:pStyle w:val="Heading1"/>
              <w:spacing w:before="0"/>
              <w:outlineLvl w:val="0"/>
            </w:pPr>
            <w:r w:rsidRPr="00135C10">
              <w:t>Action</w:t>
            </w:r>
          </w:p>
        </w:tc>
        <w:tc>
          <w:tcPr>
            <w:tcW w:w="1050" w:type="dxa"/>
            <w:vAlign w:val="center"/>
          </w:tcPr>
          <w:p w14:paraId="269C004D" w14:textId="77777777" w:rsidR="003C5358" w:rsidRPr="00135C10" w:rsidRDefault="003C5358" w:rsidP="00135C10">
            <w:pPr>
              <w:pStyle w:val="Heading1"/>
              <w:spacing w:before="0"/>
              <w:jc w:val="center"/>
              <w:outlineLvl w:val="0"/>
            </w:pPr>
            <w:r w:rsidRPr="00135C10">
              <w:t>Done?</w:t>
            </w:r>
          </w:p>
          <w:p w14:paraId="49C44F6E" w14:textId="77777777" w:rsidR="003C5358" w:rsidRPr="00135C10" w:rsidRDefault="003C5358" w:rsidP="00135C10">
            <w:pPr>
              <w:pStyle w:val="Heading1"/>
              <w:spacing w:before="0"/>
              <w:jc w:val="center"/>
              <w:outlineLvl w:val="0"/>
            </w:pPr>
            <w:r w:rsidRPr="00135C10">
              <w:sym w:font="Wingdings" w:char="F0FE"/>
            </w:r>
          </w:p>
        </w:tc>
        <w:tc>
          <w:tcPr>
            <w:tcW w:w="3611" w:type="dxa"/>
            <w:vAlign w:val="center"/>
          </w:tcPr>
          <w:p w14:paraId="0B28176A" w14:textId="77777777" w:rsidR="003C5358" w:rsidRPr="00135C10" w:rsidRDefault="003C5358" w:rsidP="00135C10">
            <w:pPr>
              <w:pStyle w:val="Heading1"/>
              <w:spacing w:before="0"/>
              <w:outlineLvl w:val="0"/>
            </w:pPr>
            <w:r w:rsidRPr="00135C10">
              <w:t>Your Remedial Activity</w:t>
            </w:r>
          </w:p>
        </w:tc>
      </w:tr>
      <w:tr w:rsidR="005467CB" w:rsidRPr="00135C10" w14:paraId="0760E13B" w14:textId="77777777" w:rsidTr="003D1599">
        <w:tc>
          <w:tcPr>
            <w:tcW w:w="1977" w:type="dxa"/>
            <w:vMerge w:val="restart"/>
          </w:tcPr>
          <w:p w14:paraId="38587783" w14:textId="77777777" w:rsidR="005467CB" w:rsidRPr="00135C10" w:rsidRDefault="003C5358" w:rsidP="0042410C">
            <w:pPr>
              <w:pStyle w:val="Heading2"/>
              <w:spacing w:before="240" w:after="240"/>
              <w:outlineLvl w:val="1"/>
              <w:rPr>
                <w:sz w:val="32"/>
                <w:szCs w:val="32"/>
              </w:rPr>
            </w:pPr>
            <w:r w:rsidRPr="00135C10">
              <w:rPr>
                <w:sz w:val="32"/>
                <w:szCs w:val="32"/>
              </w:rPr>
              <w:t>Help and who to contact continued</w:t>
            </w:r>
          </w:p>
        </w:tc>
        <w:tc>
          <w:tcPr>
            <w:tcW w:w="3232" w:type="dxa"/>
          </w:tcPr>
          <w:p w14:paraId="34EDA725" w14:textId="77777777" w:rsidR="005467CB" w:rsidRPr="00135C10" w:rsidRDefault="005467CB" w:rsidP="0042410C">
            <w:pPr>
              <w:spacing w:before="240" w:after="240"/>
              <w:rPr>
                <w:b/>
              </w:rPr>
            </w:pPr>
            <w:r w:rsidRPr="00135C10">
              <w:rPr>
                <w:b/>
              </w:rPr>
              <w:t>Help with developing business continuity and contingency plans.</w:t>
            </w:r>
          </w:p>
        </w:tc>
        <w:tc>
          <w:tcPr>
            <w:tcW w:w="5718" w:type="dxa"/>
          </w:tcPr>
          <w:p w14:paraId="4089F4C0" w14:textId="3A3C454D" w:rsidR="000C25EA" w:rsidRPr="00135C10" w:rsidRDefault="000C25EA" w:rsidP="000C25EA">
            <w:pPr>
              <w:spacing w:before="240" w:after="240"/>
            </w:pPr>
            <w:r w:rsidRPr="00135C10">
              <w:t xml:space="preserve">The </w:t>
            </w:r>
            <w:r>
              <w:t>Ca</w:t>
            </w:r>
            <w:r w:rsidRPr="00135C10">
              <w:t xml:space="preserve">re </w:t>
            </w:r>
            <w:r>
              <w:t>P</w:t>
            </w:r>
            <w:r w:rsidRPr="00135C10">
              <w:t xml:space="preserve">rovider </w:t>
            </w:r>
            <w:r>
              <w:t>A</w:t>
            </w:r>
            <w:r w:rsidRPr="00135C10">
              <w:t xml:space="preserve">lliance has issued a </w:t>
            </w:r>
            <w:r>
              <w:t>continuity</w:t>
            </w:r>
            <w:r w:rsidRPr="00135C10">
              <w:t xml:space="preserve"> plan template for adult social care providers </w:t>
            </w:r>
            <w:hyperlink r:id="rId22" w:history="1">
              <w:r w:rsidRPr="000C25EA">
                <w:rPr>
                  <w:rStyle w:val="Hyperlink"/>
                </w:rPr>
                <w:t>here.</w:t>
              </w:r>
            </w:hyperlink>
          </w:p>
          <w:p w14:paraId="1C320605" w14:textId="57A06D32" w:rsidR="005467CB" w:rsidRPr="00135C10" w:rsidRDefault="005467CB" w:rsidP="0042410C">
            <w:pPr>
              <w:spacing w:before="240" w:after="200" w:line="276" w:lineRule="auto"/>
            </w:pPr>
          </w:p>
        </w:tc>
        <w:tc>
          <w:tcPr>
            <w:tcW w:w="1050" w:type="dxa"/>
          </w:tcPr>
          <w:p w14:paraId="461D9D8C" w14:textId="77777777" w:rsidR="005467CB" w:rsidRPr="00135C10" w:rsidRDefault="005467CB" w:rsidP="0042410C">
            <w:pPr>
              <w:spacing w:before="240" w:after="240"/>
            </w:pPr>
          </w:p>
        </w:tc>
        <w:tc>
          <w:tcPr>
            <w:tcW w:w="3611" w:type="dxa"/>
          </w:tcPr>
          <w:p w14:paraId="7931D262" w14:textId="77777777" w:rsidR="005467CB" w:rsidRPr="00135C10" w:rsidRDefault="005467CB" w:rsidP="0042410C">
            <w:pPr>
              <w:spacing w:before="240" w:after="240"/>
            </w:pPr>
          </w:p>
        </w:tc>
      </w:tr>
      <w:tr w:rsidR="005467CB" w:rsidRPr="00135C10" w14:paraId="50C574F4" w14:textId="77777777" w:rsidTr="003D1599">
        <w:tc>
          <w:tcPr>
            <w:tcW w:w="1977" w:type="dxa"/>
            <w:vMerge/>
          </w:tcPr>
          <w:p w14:paraId="2AAD5001" w14:textId="77777777" w:rsidR="005467CB" w:rsidRPr="00135C10" w:rsidRDefault="005467CB" w:rsidP="0042410C">
            <w:pPr>
              <w:pStyle w:val="Heading2"/>
              <w:spacing w:before="240" w:after="240"/>
              <w:outlineLvl w:val="1"/>
              <w:rPr>
                <w:sz w:val="32"/>
                <w:szCs w:val="32"/>
              </w:rPr>
            </w:pPr>
          </w:p>
        </w:tc>
        <w:tc>
          <w:tcPr>
            <w:tcW w:w="3232" w:type="dxa"/>
          </w:tcPr>
          <w:p w14:paraId="55E2F959" w14:textId="77777777" w:rsidR="005467CB" w:rsidRPr="00135C10" w:rsidRDefault="005467CB" w:rsidP="0042410C">
            <w:pPr>
              <w:spacing w:before="240" w:after="240"/>
              <w:rPr>
                <w:b/>
              </w:rPr>
            </w:pPr>
            <w:r w:rsidRPr="00135C10">
              <w:rPr>
                <w:b/>
              </w:rPr>
              <w:t>National Supply Disruption Response (NSDR)</w:t>
            </w:r>
          </w:p>
          <w:p w14:paraId="7F84B401" w14:textId="7DF27FAA" w:rsidR="005467CB" w:rsidRPr="00135C10" w:rsidRDefault="008D494B" w:rsidP="0042410C">
            <w:pPr>
              <w:spacing w:before="240" w:after="240"/>
            </w:pPr>
            <w:r>
              <w:t>I</w:t>
            </w:r>
            <w:r w:rsidR="005467CB" w:rsidRPr="00135C10">
              <w:t xml:space="preserve">f you experience disruption to your supplies or </w:t>
            </w:r>
            <w:proofErr w:type="gramStart"/>
            <w:r w:rsidR="005467CB" w:rsidRPr="00135C10">
              <w:t>you feel</w:t>
            </w:r>
            <w:proofErr w:type="gramEnd"/>
            <w:r w:rsidR="005467CB" w:rsidRPr="00135C10">
              <w:t xml:space="preserve"> there is potential for disruption to social care services and no immediate resolution is available, you can report it to the NSDR. </w:t>
            </w:r>
          </w:p>
        </w:tc>
        <w:tc>
          <w:tcPr>
            <w:tcW w:w="5718" w:type="dxa"/>
          </w:tcPr>
          <w:p w14:paraId="20FA810D" w14:textId="77777777" w:rsidR="005467CB" w:rsidRPr="00135C10" w:rsidRDefault="005467CB" w:rsidP="0042410C">
            <w:pPr>
              <w:spacing w:before="240" w:after="240"/>
            </w:pPr>
            <w:r w:rsidRPr="00135C10">
              <w:t xml:space="preserve">After exit day ensure you are aware of the contact details for NSDR and be prepared to provide the following </w:t>
            </w:r>
            <w:proofErr w:type="gramStart"/>
            <w:r w:rsidR="003D1599" w:rsidRPr="00135C10">
              <w:t>information:</w:t>
            </w:r>
            <w:r w:rsidR="001B5EED" w:rsidRPr="00135C10">
              <w:t>-</w:t>
            </w:r>
            <w:proofErr w:type="gramEnd"/>
          </w:p>
          <w:p w14:paraId="45359EC6" w14:textId="77777777" w:rsidR="005467CB" w:rsidRPr="00135C10" w:rsidRDefault="005467CB" w:rsidP="0042410C">
            <w:pPr>
              <w:pStyle w:val="ListParagraph"/>
              <w:numPr>
                <w:ilvl w:val="0"/>
                <w:numId w:val="6"/>
              </w:numPr>
              <w:spacing w:before="240" w:after="240"/>
              <w:ind w:left="630"/>
            </w:pPr>
            <w:r w:rsidRPr="00135C10">
              <w:t>Details of the disruption and causes</w:t>
            </w:r>
          </w:p>
          <w:p w14:paraId="3518DD9C" w14:textId="77777777" w:rsidR="005467CB" w:rsidRPr="00135C10" w:rsidRDefault="005467CB" w:rsidP="0042410C">
            <w:pPr>
              <w:pStyle w:val="ListParagraph"/>
              <w:numPr>
                <w:ilvl w:val="0"/>
                <w:numId w:val="6"/>
              </w:numPr>
              <w:spacing w:before="240" w:after="240"/>
              <w:ind w:left="630"/>
            </w:pPr>
            <w:r w:rsidRPr="00135C10">
              <w:t>Anticipated disruption and causes</w:t>
            </w:r>
          </w:p>
          <w:p w14:paraId="15FA6EAF" w14:textId="77777777" w:rsidR="005467CB" w:rsidRPr="00135C10" w:rsidRDefault="005467CB" w:rsidP="0042410C">
            <w:pPr>
              <w:pStyle w:val="ListParagraph"/>
              <w:numPr>
                <w:ilvl w:val="0"/>
                <w:numId w:val="6"/>
              </w:numPr>
              <w:spacing w:before="240" w:after="240"/>
              <w:ind w:left="630"/>
            </w:pPr>
            <w:r w:rsidRPr="00135C10">
              <w:t>Products or services affected</w:t>
            </w:r>
          </w:p>
          <w:p w14:paraId="4374EE37" w14:textId="77777777" w:rsidR="005467CB" w:rsidRPr="00135C10" w:rsidRDefault="005467CB" w:rsidP="0042410C">
            <w:pPr>
              <w:pStyle w:val="ListParagraph"/>
              <w:numPr>
                <w:ilvl w:val="0"/>
                <w:numId w:val="6"/>
              </w:numPr>
              <w:spacing w:before="240" w:after="240"/>
              <w:ind w:left="630"/>
            </w:pPr>
            <w:r w:rsidRPr="00135C10">
              <w:t>How important these products or services are in providing social care</w:t>
            </w:r>
          </w:p>
          <w:p w14:paraId="77E3881F" w14:textId="77777777" w:rsidR="005467CB" w:rsidRPr="00135C10" w:rsidRDefault="005467CB" w:rsidP="0042410C">
            <w:pPr>
              <w:pStyle w:val="ListParagraph"/>
              <w:numPr>
                <w:ilvl w:val="0"/>
                <w:numId w:val="6"/>
              </w:numPr>
              <w:spacing w:before="240" w:after="240"/>
              <w:ind w:left="630"/>
            </w:pPr>
            <w:r w:rsidRPr="00135C10">
              <w:t>Potential alternative products or service providers</w:t>
            </w:r>
          </w:p>
          <w:p w14:paraId="6EEA0CCA" w14:textId="77777777" w:rsidR="005467CB" w:rsidRPr="00135C10" w:rsidRDefault="005467CB" w:rsidP="0042410C">
            <w:pPr>
              <w:pStyle w:val="ListParagraph"/>
              <w:numPr>
                <w:ilvl w:val="0"/>
                <w:numId w:val="6"/>
              </w:numPr>
              <w:spacing w:before="240" w:after="240"/>
              <w:ind w:left="630"/>
            </w:pPr>
            <w:r w:rsidRPr="00135C10">
              <w:t>The likely impact of the disruption</w:t>
            </w:r>
          </w:p>
          <w:p w14:paraId="23F98138" w14:textId="77777777" w:rsidR="005467CB" w:rsidRPr="00135C10" w:rsidRDefault="005467CB" w:rsidP="0042410C">
            <w:pPr>
              <w:pStyle w:val="ListParagraph"/>
              <w:numPr>
                <w:ilvl w:val="0"/>
                <w:numId w:val="6"/>
              </w:numPr>
              <w:spacing w:before="240" w:after="240"/>
              <w:ind w:left="630"/>
            </w:pPr>
            <w:r w:rsidRPr="00135C10">
              <w:t>How many providers and/or people in care could be affected (by region or country where applicable)</w:t>
            </w:r>
          </w:p>
          <w:p w14:paraId="35DF011C" w14:textId="6A37AA2C" w:rsidR="005467CB" w:rsidRPr="00135C10" w:rsidRDefault="00BC12AC" w:rsidP="0042410C">
            <w:pPr>
              <w:spacing w:before="240" w:after="240"/>
            </w:pPr>
            <w:bookmarkStart w:id="4" w:name="_Hlk57645881"/>
            <w:r w:rsidRPr="00BC12AC">
              <w:t>If you cannot get PPE through any other route and have run out or will do so imminently, contact the National Supply Disruption Response (NSDR) on 0800 915 9964.</w:t>
            </w:r>
            <w:bookmarkEnd w:id="4"/>
          </w:p>
        </w:tc>
        <w:tc>
          <w:tcPr>
            <w:tcW w:w="1050" w:type="dxa"/>
          </w:tcPr>
          <w:p w14:paraId="473A58C0" w14:textId="77777777" w:rsidR="005467CB" w:rsidRPr="00135C10" w:rsidRDefault="005467CB" w:rsidP="0042410C">
            <w:pPr>
              <w:spacing w:before="240" w:after="240"/>
            </w:pPr>
          </w:p>
        </w:tc>
        <w:tc>
          <w:tcPr>
            <w:tcW w:w="3611" w:type="dxa"/>
          </w:tcPr>
          <w:p w14:paraId="246BA5D4" w14:textId="77777777" w:rsidR="005467CB" w:rsidRPr="00135C10" w:rsidRDefault="005467CB" w:rsidP="0042410C">
            <w:pPr>
              <w:spacing w:before="240" w:after="240"/>
            </w:pPr>
          </w:p>
        </w:tc>
      </w:tr>
      <w:tr w:rsidR="001B5EED" w:rsidRPr="00135C10" w14:paraId="4987C3BC" w14:textId="77777777" w:rsidTr="003D1599">
        <w:tc>
          <w:tcPr>
            <w:tcW w:w="1977" w:type="dxa"/>
          </w:tcPr>
          <w:p w14:paraId="4224A4A9" w14:textId="77777777" w:rsidR="001B5EED" w:rsidRPr="00135C10" w:rsidRDefault="001B5EED" w:rsidP="0042410C">
            <w:pPr>
              <w:pStyle w:val="Heading2"/>
              <w:spacing w:before="240" w:after="240"/>
              <w:outlineLvl w:val="1"/>
              <w:rPr>
                <w:sz w:val="32"/>
                <w:szCs w:val="32"/>
              </w:rPr>
            </w:pPr>
          </w:p>
        </w:tc>
        <w:tc>
          <w:tcPr>
            <w:tcW w:w="3232" w:type="dxa"/>
          </w:tcPr>
          <w:p w14:paraId="12CDB014" w14:textId="77777777" w:rsidR="001B5EED" w:rsidRPr="00135C10" w:rsidRDefault="001B5EED" w:rsidP="0042410C">
            <w:pPr>
              <w:spacing w:before="240" w:after="240"/>
              <w:rPr>
                <w:b/>
              </w:rPr>
            </w:pPr>
            <w:r w:rsidRPr="00135C10">
              <w:rPr>
                <w:b/>
              </w:rPr>
              <w:t xml:space="preserve">Help </w:t>
            </w:r>
            <w:r w:rsidR="00976FF8" w:rsidRPr="00135C10">
              <w:rPr>
                <w:b/>
              </w:rPr>
              <w:t>w</w:t>
            </w:r>
            <w:r w:rsidRPr="00135C10">
              <w:rPr>
                <w:b/>
              </w:rPr>
              <w:t>ith workforce issue</w:t>
            </w:r>
            <w:r w:rsidR="00976FF8" w:rsidRPr="00135C10">
              <w:rPr>
                <w:b/>
              </w:rPr>
              <w:t>s</w:t>
            </w:r>
          </w:p>
        </w:tc>
        <w:tc>
          <w:tcPr>
            <w:tcW w:w="5718" w:type="dxa"/>
          </w:tcPr>
          <w:p w14:paraId="77E8AA15" w14:textId="77777777" w:rsidR="001B5EED" w:rsidRPr="00135C10" w:rsidRDefault="001B5EED" w:rsidP="0042410C">
            <w:pPr>
              <w:pStyle w:val="ListParagraph"/>
              <w:numPr>
                <w:ilvl w:val="0"/>
                <w:numId w:val="7"/>
              </w:numPr>
              <w:spacing w:before="240"/>
              <w:ind w:left="630"/>
            </w:pPr>
            <w:r w:rsidRPr="00135C10">
              <w:t>Raise capacity and resource concerns in the usual way</w:t>
            </w:r>
          </w:p>
          <w:p w14:paraId="33D1D806" w14:textId="77777777" w:rsidR="001B5EED" w:rsidRPr="00135C10" w:rsidRDefault="001B5EED" w:rsidP="0042410C">
            <w:pPr>
              <w:pStyle w:val="ListParagraph"/>
              <w:numPr>
                <w:ilvl w:val="0"/>
                <w:numId w:val="7"/>
              </w:numPr>
              <w:spacing w:before="240"/>
              <w:ind w:left="630"/>
            </w:pPr>
            <w:r w:rsidRPr="00135C10">
              <w:t xml:space="preserve">Notify </w:t>
            </w:r>
            <w:r w:rsidR="00A002A4">
              <w:t xml:space="preserve">your </w:t>
            </w:r>
            <w:r w:rsidRPr="00135C10">
              <w:t xml:space="preserve">local </w:t>
            </w:r>
            <w:r w:rsidR="00A002A4">
              <w:t xml:space="preserve">care </w:t>
            </w:r>
            <w:r w:rsidRPr="00135C10">
              <w:t>commissioner</w:t>
            </w:r>
            <w:r w:rsidR="00A002A4">
              <w:t xml:space="preserve"> </w:t>
            </w:r>
            <w:r w:rsidRPr="00135C10">
              <w:t xml:space="preserve">and the Care Quality Commission as soon as possible if disruption poses a risk to service </w:t>
            </w:r>
          </w:p>
          <w:p w14:paraId="14592357" w14:textId="77777777" w:rsidR="001B5EED" w:rsidRPr="00135C10" w:rsidRDefault="001B5EED" w:rsidP="0042410C">
            <w:pPr>
              <w:pStyle w:val="ListParagraph"/>
              <w:numPr>
                <w:ilvl w:val="0"/>
                <w:numId w:val="7"/>
              </w:numPr>
              <w:spacing w:before="240" w:after="160"/>
              <w:ind w:left="630"/>
            </w:pPr>
            <w:r w:rsidRPr="00135C10">
              <w:t xml:space="preserve">Send Brexit related workforce queries to </w:t>
            </w:r>
            <w:hyperlink r:id="rId23" w:history="1">
              <w:r w:rsidRPr="00135C10">
                <w:rPr>
                  <w:color w:val="0000FF"/>
                  <w:u w:val="single"/>
                  <w:lang w:val="en"/>
                </w:rPr>
                <w:t>WorkforceEUExit@dhsc.gov.uk</w:t>
              </w:r>
            </w:hyperlink>
          </w:p>
        </w:tc>
        <w:tc>
          <w:tcPr>
            <w:tcW w:w="1050" w:type="dxa"/>
          </w:tcPr>
          <w:p w14:paraId="3AAD8D2F" w14:textId="77777777" w:rsidR="001B5EED" w:rsidRPr="00135C10" w:rsidRDefault="001B5EED" w:rsidP="0042410C">
            <w:pPr>
              <w:spacing w:before="240" w:after="240"/>
            </w:pPr>
          </w:p>
        </w:tc>
        <w:tc>
          <w:tcPr>
            <w:tcW w:w="3611" w:type="dxa"/>
          </w:tcPr>
          <w:p w14:paraId="2F0E0FFA" w14:textId="77777777" w:rsidR="001B5EED" w:rsidRPr="00135C10" w:rsidRDefault="001B5EED" w:rsidP="0042410C">
            <w:pPr>
              <w:spacing w:before="240" w:after="240"/>
            </w:pPr>
          </w:p>
        </w:tc>
      </w:tr>
    </w:tbl>
    <w:p w14:paraId="786CDBEF" w14:textId="77777777" w:rsidR="00452B8A" w:rsidRPr="00135C10" w:rsidRDefault="00452B8A" w:rsidP="0042410C">
      <w:pPr>
        <w:spacing w:before="240" w:after="240"/>
        <w:rPr>
          <w:sz w:val="20"/>
        </w:rPr>
      </w:pPr>
    </w:p>
    <w:sectPr w:rsidR="00452B8A" w:rsidRPr="00135C10" w:rsidSect="0042410C">
      <w:footerReference w:type="default" r:id="rId24"/>
      <w:pgSz w:w="16838" w:h="11906" w:orient="landscape"/>
      <w:pgMar w:top="567" w:right="720" w:bottom="284" w:left="720" w:header="708"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2A1EF" w14:textId="77777777" w:rsidR="00045F48" w:rsidRDefault="00045F48" w:rsidP="00197E02">
      <w:pPr>
        <w:spacing w:after="0" w:line="240" w:lineRule="auto"/>
      </w:pPr>
      <w:r>
        <w:separator/>
      </w:r>
    </w:p>
  </w:endnote>
  <w:endnote w:type="continuationSeparator" w:id="0">
    <w:p w14:paraId="11CBEC7E" w14:textId="77777777" w:rsidR="00045F48" w:rsidRDefault="00045F48" w:rsidP="0019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615161"/>
      <w:docPartObj>
        <w:docPartGallery w:val="Page Numbers (Bottom of Page)"/>
        <w:docPartUnique/>
      </w:docPartObj>
    </w:sdtPr>
    <w:sdtEndPr/>
    <w:sdtContent>
      <w:p w14:paraId="670AC755" w14:textId="101F1D80" w:rsidR="00197E02" w:rsidRDefault="00197E02">
        <w:pPr>
          <w:pStyle w:val="Footer"/>
        </w:pPr>
        <w:r>
          <w:rPr>
            <w:noProof/>
          </w:rPr>
          <mc:AlternateContent>
            <mc:Choice Requires="wps">
              <w:drawing>
                <wp:anchor distT="0" distB="0" distL="114300" distR="114300" simplePos="0" relativeHeight="251659264" behindDoc="0" locked="0" layoutInCell="1" allowOverlap="1" wp14:anchorId="092D9E3D" wp14:editId="361C3D69">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48"/>
                                </w:rPr>
                                <w:id w:val="692039421"/>
                                <w:docPartObj>
                                  <w:docPartGallery w:val="Page Numbers (Margins)"/>
                                  <w:docPartUnique/>
                                </w:docPartObj>
                              </w:sdtPr>
                              <w:sdtEndPr/>
                              <w:sdtContent>
                                <w:sdt>
                                  <w:sdtPr>
                                    <w:rPr>
                                      <w:rFonts w:asciiTheme="majorHAnsi" w:eastAsiaTheme="majorEastAsia" w:hAnsiTheme="majorHAnsi" w:cstheme="majorBidi"/>
                                      <w:sz w:val="32"/>
                                      <w:szCs w:val="48"/>
                                    </w:rPr>
                                    <w:id w:val="1896310364"/>
                                    <w:docPartObj>
                                      <w:docPartGallery w:val="Page Numbers (Margins)"/>
                                      <w:docPartUnique/>
                                    </w:docPartObj>
                                  </w:sdtPr>
                                  <w:sdtEndPr/>
                                  <w:sdtContent>
                                    <w:p w14:paraId="746CC846" w14:textId="77777777" w:rsidR="00197E02" w:rsidRPr="00197E02" w:rsidRDefault="00197E02">
                                      <w:pPr>
                                        <w:jc w:val="center"/>
                                        <w:rPr>
                                          <w:rFonts w:asciiTheme="majorHAnsi" w:eastAsiaTheme="majorEastAsia" w:hAnsiTheme="majorHAnsi" w:cstheme="majorBidi"/>
                                          <w:sz w:val="32"/>
                                          <w:szCs w:val="44"/>
                                        </w:rPr>
                                      </w:pPr>
                                      <w:r w:rsidRPr="00197E02">
                                        <w:rPr>
                                          <w:rFonts w:eastAsiaTheme="minorEastAsia" w:cs="Times New Roman"/>
                                          <w:sz w:val="14"/>
                                        </w:rPr>
                                        <w:fldChar w:fldCharType="begin"/>
                                      </w:r>
                                      <w:r w:rsidRPr="00197E02">
                                        <w:rPr>
                                          <w:sz w:val="14"/>
                                        </w:rPr>
                                        <w:instrText xml:space="preserve"> PAGE   \* MERGEFORMAT </w:instrText>
                                      </w:r>
                                      <w:r w:rsidRPr="00197E02">
                                        <w:rPr>
                                          <w:rFonts w:eastAsiaTheme="minorEastAsia" w:cs="Times New Roman"/>
                                          <w:sz w:val="14"/>
                                        </w:rPr>
                                        <w:fldChar w:fldCharType="separate"/>
                                      </w:r>
                                      <w:r w:rsidRPr="00197E02">
                                        <w:rPr>
                                          <w:rFonts w:asciiTheme="majorHAnsi" w:eastAsiaTheme="majorEastAsia" w:hAnsiTheme="majorHAnsi" w:cstheme="majorBidi"/>
                                          <w:noProof/>
                                          <w:sz w:val="32"/>
                                          <w:szCs w:val="48"/>
                                        </w:rPr>
                                        <w:t>2</w:t>
                                      </w:r>
                                      <w:r w:rsidRPr="00197E02">
                                        <w:rPr>
                                          <w:rFonts w:asciiTheme="majorHAnsi" w:eastAsiaTheme="majorEastAsia" w:hAnsiTheme="majorHAnsi" w:cstheme="majorBidi"/>
                                          <w:noProof/>
                                          <w:sz w:val="32"/>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D9E3D"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aAQ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xfoAWgECAADlAwAADgAAAAAAAAAAAAAA&#10;AAAuAgAAZHJzL2Uyb0RvYy54bWxQSwECLQAUAAYACAAAACEAbNUf09kAAAAFAQAADwAAAAAAAAAA&#10;AAAAAABbBAAAZHJzL2Rvd25yZXYueG1sUEsFBgAAAAAEAAQA8wAAAGEFAAAAAA==&#10;" stroked="f">
                  <v:textbox>
                    <w:txbxContent>
                      <w:sdt>
                        <w:sdtPr>
                          <w:rPr>
                            <w:rFonts w:asciiTheme="majorHAnsi" w:eastAsiaTheme="majorEastAsia" w:hAnsiTheme="majorHAnsi" w:cstheme="majorBidi"/>
                            <w:sz w:val="32"/>
                            <w:szCs w:val="48"/>
                          </w:rPr>
                          <w:id w:val="692039421"/>
                          <w:docPartObj>
                            <w:docPartGallery w:val="Page Numbers (Margins)"/>
                            <w:docPartUnique/>
                          </w:docPartObj>
                        </w:sdtPr>
                        <w:sdtEndPr/>
                        <w:sdtContent>
                          <w:sdt>
                            <w:sdtPr>
                              <w:rPr>
                                <w:rFonts w:asciiTheme="majorHAnsi" w:eastAsiaTheme="majorEastAsia" w:hAnsiTheme="majorHAnsi" w:cstheme="majorBidi"/>
                                <w:sz w:val="32"/>
                                <w:szCs w:val="48"/>
                              </w:rPr>
                              <w:id w:val="1896310364"/>
                              <w:docPartObj>
                                <w:docPartGallery w:val="Page Numbers (Margins)"/>
                                <w:docPartUnique/>
                              </w:docPartObj>
                            </w:sdtPr>
                            <w:sdtEndPr/>
                            <w:sdtContent>
                              <w:p w14:paraId="746CC846" w14:textId="77777777" w:rsidR="00197E02" w:rsidRPr="00197E02" w:rsidRDefault="00197E02">
                                <w:pPr>
                                  <w:jc w:val="center"/>
                                  <w:rPr>
                                    <w:rFonts w:asciiTheme="majorHAnsi" w:eastAsiaTheme="majorEastAsia" w:hAnsiTheme="majorHAnsi" w:cstheme="majorBidi"/>
                                    <w:sz w:val="32"/>
                                    <w:szCs w:val="44"/>
                                  </w:rPr>
                                </w:pPr>
                                <w:r w:rsidRPr="00197E02">
                                  <w:rPr>
                                    <w:rFonts w:eastAsiaTheme="minorEastAsia" w:cs="Times New Roman"/>
                                    <w:sz w:val="14"/>
                                  </w:rPr>
                                  <w:fldChar w:fldCharType="begin"/>
                                </w:r>
                                <w:r w:rsidRPr="00197E02">
                                  <w:rPr>
                                    <w:sz w:val="14"/>
                                  </w:rPr>
                                  <w:instrText xml:space="preserve"> PAGE   \* MERGEFORMAT </w:instrText>
                                </w:r>
                                <w:r w:rsidRPr="00197E02">
                                  <w:rPr>
                                    <w:rFonts w:eastAsiaTheme="minorEastAsia" w:cs="Times New Roman"/>
                                    <w:sz w:val="14"/>
                                  </w:rPr>
                                  <w:fldChar w:fldCharType="separate"/>
                                </w:r>
                                <w:r w:rsidRPr="00197E02">
                                  <w:rPr>
                                    <w:rFonts w:asciiTheme="majorHAnsi" w:eastAsiaTheme="majorEastAsia" w:hAnsiTheme="majorHAnsi" w:cstheme="majorBidi"/>
                                    <w:noProof/>
                                    <w:sz w:val="32"/>
                                    <w:szCs w:val="48"/>
                                  </w:rPr>
                                  <w:t>2</w:t>
                                </w:r>
                                <w:r w:rsidRPr="00197E02">
                                  <w:rPr>
                                    <w:rFonts w:asciiTheme="majorHAnsi" w:eastAsiaTheme="majorEastAsia" w:hAnsiTheme="majorHAnsi" w:cstheme="majorBidi"/>
                                    <w:noProof/>
                                    <w:sz w:val="32"/>
                                    <w:szCs w:val="48"/>
                                  </w:rPr>
                                  <w:fldChar w:fldCharType="end"/>
                                </w:r>
                              </w:p>
                            </w:sdtContent>
                          </w:sdt>
                        </w:sdtContent>
                      </w:sdt>
                    </w:txbxContent>
                  </v:textbox>
                  <w10:wrap anchorx="margin" anchory="margin"/>
                </v:rect>
              </w:pict>
            </mc:Fallback>
          </mc:AlternateContent>
        </w:r>
        <w:r w:rsidR="003F49C5">
          <w:t>V2 November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1E809" w14:textId="77777777" w:rsidR="00045F48" w:rsidRDefault="00045F48" w:rsidP="00197E02">
      <w:pPr>
        <w:spacing w:after="0" w:line="240" w:lineRule="auto"/>
      </w:pPr>
      <w:r>
        <w:separator/>
      </w:r>
    </w:p>
  </w:footnote>
  <w:footnote w:type="continuationSeparator" w:id="0">
    <w:p w14:paraId="60F1739E" w14:textId="77777777" w:rsidR="00045F48" w:rsidRDefault="00045F48" w:rsidP="00197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7262"/>
    <w:multiLevelType w:val="hybridMultilevel"/>
    <w:tmpl w:val="F59CF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1D05AD"/>
    <w:multiLevelType w:val="hybridMultilevel"/>
    <w:tmpl w:val="125E2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E2A60"/>
    <w:multiLevelType w:val="hybridMultilevel"/>
    <w:tmpl w:val="AFE09750"/>
    <w:lvl w:ilvl="0" w:tplc="9DF668C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318AE"/>
    <w:multiLevelType w:val="hybridMultilevel"/>
    <w:tmpl w:val="C4F4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C60C1"/>
    <w:multiLevelType w:val="hybridMultilevel"/>
    <w:tmpl w:val="43B4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B10A0"/>
    <w:multiLevelType w:val="hybridMultilevel"/>
    <w:tmpl w:val="B182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97769"/>
    <w:multiLevelType w:val="hybridMultilevel"/>
    <w:tmpl w:val="EEE20C56"/>
    <w:lvl w:ilvl="0" w:tplc="9DF668C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5179F5"/>
    <w:multiLevelType w:val="multilevel"/>
    <w:tmpl w:val="17A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B7611B"/>
    <w:multiLevelType w:val="hybridMultilevel"/>
    <w:tmpl w:val="3B56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F3555"/>
    <w:multiLevelType w:val="hybridMultilevel"/>
    <w:tmpl w:val="7F046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
  </w:num>
  <w:num w:numId="4">
    <w:abstractNumId w:val="8"/>
  </w:num>
  <w:num w:numId="5">
    <w:abstractNumId w:val="2"/>
  </w:num>
  <w:num w:numId="6">
    <w:abstractNumId w:val="9"/>
  </w:num>
  <w:num w:numId="7">
    <w:abstractNumId w:val="0"/>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8A"/>
    <w:rsid w:val="00000843"/>
    <w:rsid w:val="000073D9"/>
    <w:rsid w:val="000213C9"/>
    <w:rsid w:val="00040F7F"/>
    <w:rsid w:val="00045F48"/>
    <w:rsid w:val="0005328C"/>
    <w:rsid w:val="00066D14"/>
    <w:rsid w:val="00092D84"/>
    <w:rsid w:val="000C25EA"/>
    <w:rsid w:val="00135C10"/>
    <w:rsid w:val="001850C1"/>
    <w:rsid w:val="00197E02"/>
    <w:rsid w:val="001B5EED"/>
    <w:rsid w:val="001B75C2"/>
    <w:rsid w:val="00226426"/>
    <w:rsid w:val="002614A8"/>
    <w:rsid w:val="00330569"/>
    <w:rsid w:val="00391B56"/>
    <w:rsid w:val="003C5358"/>
    <w:rsid w:val="003D1599"/>
    <w:rsid w:val="003F49C5"/>
    <w:rsid w:val="0042410C"/>
    <w:rsid w:val="00452B8A"/>
    <w:rsid w:val="00457CA1"/>
    <w:rsid w:val="004A6AE4"/>
    <w:rsid w:val="005467CB"/>
    <w:rsid w:val="0056519D"/>
    <w:rsid w:val="005905B3"/>
    <w:rsid w:val="00614609"/>
    <w:rsid w:val="00614FC1"/>
    <w:rsid w:val="007564F6"/>
    <w:rsid w:val="007F7BE7"/>
    <w:rsid w:val="008D494B"/>
    <w:rsid w:val="008E5A2A"/>
    <w:rsid w:val="00960DB8"/>
    <w:rsid w:val="00976FF8"/>
    <w:rsid w:val="00990D21"/>
    <w:rsid w:val="00A002A4"/>
    <w:rsid w:val="00B77086"/>
    <w:rsid w:val="00B81B34"/>
    <w:rsid w:val="00B820BA"/>
    <w:rsid w:val="00B87A0A"/>
    <w:rsid w:val="00BC12AC"/>
    <w:rsid w:val="00C66BD1"/>
    <w:rsid w:val="00C97148"/>
    <w:rsid w:val="00DC16A5"/>
    <w:rsid w:val="00E1149D"/>
    <w:rsid w:val="00E9214D"/>
    <w:rsid w:val="00E93F9F"/>
    <w:rsid w:val="00F06161"/>
    <w:rsid w:val="00F75A20"/>
    <w:rsid w:val="00F92F69"/>
    <w:rsid w:val="00FF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8C3F7"/>
  <w15:chartTrackingRefBased/>
  <w15:docId w15:val="{EFCD4646-7912-47B7-AFCF-F5130A4A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B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B8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52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2B8A"/>
    <w:rPr>
      <w:color w:val="0000FF"/>
      <w:u w:val="single"/>
    </w:rPr>
  </w:style>
  <w:style w:type="character" w:styleId="UnresolvedMention">
    <w:name w:val="Unresolved Mention"/>
    <w:basedOn w:val="DefaultParagraphFont"/>
    <w:uiPriority w:val="99"/>
    <w:semiHidden/>
    <w:unhideWhenUsed/>
    <w:rsid w:val="00452B8A"/>
    <w:rPr>
      <w:color w:val="605E5C"/>
      <w:shd w:val="clear" w:color="auto" w:fill="E1DFDD"/>
    </w:rPr>
  </w:style>
  <w:style w:type="character" w:customStyle="1" w:styleId="Heading1Char">
    <w:name w:val="Heading 1 Char"/>
    <w:basedOn w:val="DefaultParagraphFont"/>
    <w:link w:val="Heading1"/>
    <w:uiPriority w:val="9"/>
    <w:rsid w:val="00452B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2B8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569"/>
    <w:pPr>
      <w:ind w:left="720"/>
      <w:contextualSpacing/>
    </w:pPr>
  </w:style>
  <w:style w:type="paragraph" w:styleId="BalloonText">
    <w:name w:val="Balloon Text"/>
    <w:basedOn w:val="Normal"/>
    <w:link w:val="BalloonTextChar"/>
    <w:uiPriority w:val="99"/>
    <w:semiHidden/>
    <w:unhideWhenUsed/>
    <w:rsid w:val="00756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F6"/>
    <w:rPr>
      <w:rFonts w:ascii="Segoe UI" w:hAnsi="Segoe UI" w:cs="Segoe UI"/>
      <w:sz w:val="18"/>
      <w:szCs w:val="18"/>
    </w:rPr>
  </w:style>
  <w:style w:type="character" w:styleId="FollowedHyperlink">
    <w:name w:val="FollowedHyperlink"/>
    <w:basedOn w:val="DefaultParagraphFont"/>
    <w:uiPriority w:val="99"/>
    <w:semiHidden/>
    <w:unhideWhenUsed/>
    <w:rsid w:val="00E9214D"/>
    <w:rPr>
      <w:color w:val="954F72" w:themeColor="followedHyperlink"/>
      <w:u w:val="single"/>
    </w:rPr>
  </w:style>
  <w:style w:type="paragraph" w:styleId="Header">
    <w:name w:val="header"/>
    <w:basedOn w:val="Normal"/>
    <w:link w:val="HeaderChar"/>
    <w:uiPriority w:val="99"/>
    <w:unhideWhenUsed/>
    <w:rsid w:val="0019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E02"/>
  </w:style>
  <w:style w:type="paragraph" w:styleId="Footer">
    <w:name w:val="footer"/>
    <w:basedOn w:val="Normal"/>
    <w:link w:val="FooterChar"/>
    <w:uiPriority w:val="99"/>
    <w:unhideWhenUsed/>
    <w:rsid w:val="0019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E02"/>
  </w:style>
  <w:style w:type="character" w:customStyle="1" w:styleId="govuk-caption-xl">
    <w:name w:val="govuk-caption-xl"/>
    <w:basedOn w:val="DefaultParagraphFont"/>
    <w:rsid w:val="003F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5666">
      <w:bodyDiv w:val="1"/>
      <w:marLeft w:val="0"/>
      <w:marRight w:val="0"/>
      <w:marTop w:val="0"/>
      <w:marBottom w:val="0"/>
      <w:divBdr>
        <w:top w:val="none" w:sz="0" w:space="0" w:color="auto"/>
        <w:left w:val="none" w:sz="0" w:space="0" w:color="auto"/>
        <w:bottom w:val="none" w:sz="0" w:space="0" w:color="auto"/>
        <w:right w:val="none" w:sz="0" w:space="0" w:color="auto"/>
      </w:divBdr>
    </w:div>
    <w:div w:id="165751241">
      <w:bodyDiv w:val="1"/>
      <w:marLeft w:val="0"/>
      <w:marRight w:val="0"/>
      <w:marTop w:val="0"/>
      <w:marBottom w:val="0"/>
      <w:divBdr>
        <w:top w:val="none" w:sz="0" w:space="0" w:color="auto"/>
        <w:left w:val="none" w:sz="0" w:space="0" w:color="auto"/>
        <w:bottom w:val="none" w:sz="0" w:space="0" w:color="auto"/>
        <w:right w:val="none" w:sz="0" w:space="0" w:color="auto"/>
      </w:divBdr>
    </w:div>
    <w:div w:id="187374336">
      <w:bodyDiv w:val="1"/>
      <w:marLeft w:val="0"/>
      <w:marRight w:val="0"/>
      <w:marTop w:val="0"/>
      <w:marBottom w:val="0"/>
      <w:divBdr>
        <w:top w:val="none" w:sz="0" w:space="0" w:color="auto"/>
        <w:left w:val="none" w:sz="0" w:space="0" w:color="auto"/>
        <w:bottom w:val="none" w:sz="0" w:space="0" w:color="auto"/>
        <w:right w:val="none" w:sz="0" w:space="0" w:color="auto"/>
      </w:divBdr>
    </w:div>
    <w:div w:id="679158787">
      <w:bodyDiv w:val="1"/>
      <w:marLeft w:val="0"/>
      <w:marRight w:val="0"/>
      <w:marTop w:val="0"/>
      <w:marBottom w:val="0"/>
      <w:divBdr>
        <w:top w:val="none" w:sz="0" w:space="0" w:color="auto"/>
        <w:left w:val="none" w:sz="0" w:space="0" w:color="auto"/>
        <w:bottom w:val="none" w:sz="0" w:space="0" w:color="auto"/>
        <w:right w:val="none" w:sz="0" w:space="0" w:color="auto"/>
      </w:divBdr>
    </w:div>
    <w:div w:id="710766888">
      <w:bodyDiv w:val="1"/>
      <w:marLeft w:val="0"/>
      <w:marRight w:val="0"/>
      <w:marTop w:val="0"/>
      <w:marBottom w:val="0"/>
      <w:divBdr>
        <w:top w:val="none" w:sz="0" w:space="0" w:color="auto"/>
        <w:left w:val="none" w:sz="0" w:space="0" w:color="auto"/>
        <w:bottom w:val="none" w:sz="0" w:space="0" w:color="auto"/>
        <w:right w:val="none" w:sz="0" w:space="0" w:color="auto"/>
      </w:divBdr>
    </w:div>
    <w:div w:id="865868633">
      <w:bodyDiv w:val="1"/>
      <w:marLeft w:val="0"/>
      <w:marRight w:val="0"/>
      <w:marTop w:val="0"/>
      <w:marBottom w:val="0"/>
      <w:divBdr>
        <w:top w:val="none" w:sz="0" w:space="0" w:color="auto"/>
        <w:left w:val="none" w:sz="0" w:space="0" w:color="auto"/>
        <w:bottom w:val="none" w:sz="0" w:space="0" w:color="auto"/>
        <w:right w:val="none" w:sz="0" w:space="0" w:color="auto"/>
      </w:divBdr>
    </w:div>
    <w:div w:id="10362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ransition" TargetMode="External"/><Relationship Id="rId13" Type="http://schemas.openxmlformats.org/officeDocument/2006/relationships/hyperlink" Target="https://mailchi.mp/hcpa/we-have-moved-1279575" TargetMode="External"/><Relationship Id="rId18" Type="http://schemas.openxmlformats.org/officeDocument/2006/relationships/hyperlink" Target="https://www.gov.uk/guidance/local-resilience-forums-contact-detai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rtfordshire.gov.uk/media-library/documents/business/business-continuity/risk-register.pdf" TargetMode="External"/><Relationship Id="rId7" Type="http://schemas.openxmlformats.org/officeDocument/2006/relationships/image" Target="media/image1.jpeg"/><Relationship Id="rId12" Type="http://schemas.openxmlformats.org/officeDocument/2006/relationships/hyperlink" Target="https://www.gov.uk/settled-status-eu-citizens-families" TargetMode="External"/><Relationship Id="rId17" Type="http://schemas.openxmlformats.org/officeDocument/2006/relationships/hyperlink" Target="https://www.gov.uk/guidance/ppe-portal-how-to-order-covid-19-personal-protective-equip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using-personal-data-in-your-business-or-other-organisation-after-the-transition-period" TargetMode="External"/><Relationship Id="rId20" Type="http://schemas.openxmlformats.org/officeDocument/2006/relationships/hyperlink" Target="https://www.hertfordshire.gov.uk/services/fire-and-rescue/are-you-ready-for-anythi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provideralliance.org.uk/business-continuity-guida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co.org.uk/for-organisations/data-protection-at-the-end-of-the-transition-period/data-protection-at-the-end-of-the-transition-period/" TargetMode="External"/><Relationship Id="rId23" Type="http://schemas.openxmlformats.org/officeDocument/2006/relationships/hyperlink" Target="mailto:WorkforceEUExit@dhsc.gov.uk" TargetMode="External"/><Relationship Id="rId10" Type="http://schemas.openxmlformats.org/officeDocument/2006/relationships/hyperlink" Target="https://hcpa.us3.list-manage.com/subscribe?u=7275e7980a25c4f5e4939ee06&amp;id=96f1f7298d" TargetMode="External"/><Relationship Id="rId19" Type="http://schemas.openxmlformats.org/officeDocument/2006/relationships/hyperlink" Target="mailto:hertfordshire.resilience@hertfordshire.gov.uk" TargetMode="External"/><Relationship Id="rId4" Type="http://schemas.openxmlformats.org/officeDocument/2006/relationships/webSettings" Target="webSettings.xml"/><Relationship Id="rId9" Type="http://schemas.openxmlformats.org/officeDocument/2006/relationships/hyperlink" Target="https://www.gov.uk/email-signup/?topic=/government/brexit" TargetMode="External"/><Relationship Id="rId14" Type="http://schemas.openxmlformats.org/officeDocument/2006/relationships/hyperlink" Target="https://cpq.naric.org.uk/" TargetMode="External"/><Relationship Id="rId22" Type="http://schemas.openxmlformats.org/officeDocument/2006/relationships/hyperlink" Target="https://careprovideralliance.org.uk/business-continui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Slade</dc:creator>
  <cp:keywords/>
  <dc:description/>
  <cp:lastModifiedBy>Martin Slade</cp:lastModifiedBy>
  <cp:revision>5</cp:revision>
  <cp:lastPrinted>2019-10-01T12:29:00Z</cp:lastPrinted>
  <dcterms:created xsi:type="dcterms:W3CDTF">2020-11-30T16:09:00Z</dcterms:created>
  <dcterms:modified xsi:type="dcterms:W3CDTF">2020-11-30T16:27:00Z</dcterms:modified>
</cp:coreProperties>
</file>